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51DE8A41" w:rsidR="002A7CD2" w:rsidRPr="00955AC1" w:rsidRDefault="00AE3836" w:rsidP="000078D6">
      <w:pPr>
        <w:spacing w:after="0"/>
        <w:jc w:val="center"/>
        <w:rPr>
          <w:rFonts w:ascii="Times New Roman" w:hAnsi="Times New Roman" w:cs="Times New Roman"/>
        </w:rPr>
      </w:pPr>
      <w:r w:rsidRPr="00955AC1">
        <w:rPr>
          <w:rFonts w:ascii="Times New Roman" w:hAnsi="Times New Roman" w:cs="Times New Roman"/>
        </w:rPr>
        <w:softHyphen/>
      </w:r>
      <w:r w:rsidR="00441946" w:rsidRPr="00955AC1">
        <w:rPr>
          <w:rFonts w:ascii="Times New Roman" w:hAnsi="Times New Roman" w:cs="Times New Roman"/>
          <w:noProof/>
        </w:rPr>
        <w:drawing>
          <wp:inline distT="0" distB="0" distL="0" distR="0" wp14:anchorId="1353F54E" wp14:editId="11839CD7">
            <wp:extent cx="3850110" cy="1374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49724" cy="1410004"/>
                    </a:xfrm>
                    <a:prstGeom prst="rect">
                      <a:avLst/>
                    </a:prstGeom>
                    <a:noFill/>
                    <a:ln>
                      <a:noFill/>
                    </a:ln>
                  </pic:spPr>
                </pic:pic>
              </a:graphicData>
            </a:graphic>
          </wp:inline>
        </w:drawing>
      </w:r>
    </w:p>
    <w:p w14:paraId="617F9DA5" w14:textId="3158A147" w:rsidR="00616EA5" w:rsidRPr="00955AC1" w:rsidRDefault="00277840" w:rsidP="00F70795">
      <w:pPr>
        <w:spacing w:after="0"/>
        <w:jc w:val="center"/>
        <w:rPr>
          <w:rFonts w:ascii="Times New Roman" w:hAnsi="Times New Roman" w:cs="Times New Roman"/>
          <w:b/>
          <w:sz w:val="32"/>
          <w:szCs w:val="32"/>
        </w:rPr>
      </w:pPr>
      <w:r w:rsidRPr="00955AC1">
        <w:rPr>
          <w:rFonts w:ascii="Times New Roman" w:hAnsi="Times New Roman" w:cs="Times New Roman"/>
          <w:b/>
          <w:sz w:val="32"/>
          <w:szCs w:val="32"/>
        </w:rPr>
        <w:t>202</w:t>
      </w:r>
      <w:r w:rsidR="00741177" w:rsidRPr="00955AC1">
        <w:rPr>
          <w:rFonts w:ascii="Times New Roman" w:hAnsi="Times New Roman" w:cs="Times New Roman"/>
          <w:b/>
          <w:sz w:val="32"/>
          <w:szCs w:val="32"/>
        </w:rPr>
        <w:t>2</w:t>
      </w:r>
      <w:r w:rsidRPr="00955AC1">
        <w:rPr>
          <w:rFonts w:ascii="Times New Roman" w:hAnsi="Times New Roman" w:cs="Times New Roman"/>
          <w:b/>
          <w:sz w:val="32"/>
          <w:szCs w:val="32"/>
        </w:rPr>
        <w:t xml:space="preserve"> </w:t>
      </w:r>
      <w:r w:rsidR="008C0345" w:rsidRPr="00955AC1">
        <w:rPr>
          <w:rFonts w:ascii="Times New Roman" w:hAnsi="Times New Roman" w:cs="Times New Roman"/>
          <w:b/>
          <w:sz w:val="32"/>
          <w:szCs w:val="32"/>
        </w:rPr>
        <w:t xml:space="preserve">Housing Tax Credit </w:t>
      </w:r>
      <w:r w:rsidR="00F5717C" w:rsidRPr="00955AC1">
        <w:rPr>
          <w:rFonts w:ascii="Times New Roman" w:hAnsi="Times New Roman" w:cs="Times New Roman"/>
          <w:b/>
          <w:sz w:val="32"/>
          <w:szCs w:val="32"/>
        </w:rPr>
        <w:t xml:space="preserve">Program </w:t>
      </w:r>
    </w:p>
    <w:p w14:paraId="2BB5916B" w14:textId="42A8FD8D" w:rsidR="00226B34" w:rsidRPr="00955AC1" w:rsidRDefault="00226B34" w:rsidP="00616EA5">
      <w:pPr>
        <w:pBdr>
          <w:bottom w:val="single" w:sz="6" w:space="1" w:color="auto"/>
        </w:pBdr>
        <w:spacing w:after="0"/>
        <w:jc w:val="center"/>
        <w:rPr>
          <w:rFonts w:ascii="Times New Roman" w:hAnsi="Times New Roman" w:cs="Times New Roman"/>
          <w:b/>
          <w:sz w:val="32"/>
          <w:szCs w:val="32"/>
        </w:rPr>
      </w:pPr>
      <w:r w:rsidRPr="00955AC1">
        <w:rPr>
          <w:rFonts w:ascii="Times New Roman" w:hAnsi="Times New Roman" w:cs="Times New Roman"/>
          <w:b/>
          <w:sz w:val="32"/>
          <w:szCs w:val="32"/>
        </w:rPr>
        <w:t>Questions and Answers</w:t>
      </w:r>
      <w:r w:rsidR="00D93FAE" w:rsidRPr="00955AC1">
        <w:rPr>
          <w:rFonts w:ascii="Times New Roman" w:hAnsi="Times New Roman" w:cs="Times New Roman"/>
          <w:b/>
          <w:sz w:val="32"/>
          <w:szCs w:val="32"/>
        </w:rPr>
        <w:t xml:space="preserve"> </w:t>
      </w:r>
    </w:p>
    <w:p w14:paraId="0407AE8F" w14:textId="4D500D0E" w:rsidR="007C0246" w:rsidRPr="00955AC1" w:rsidRDefault="009A3438" w:rsidP="006D7569">
      <w:pPr>
        <w:spacing w:after="0"/>
        <w:rPr>
          <w:rFonts w:ascii="Times New Roman" w:hAnsi="Times New Roman" w:cs="Times New Roman"/>
          <w:noProof/>
        </w:rPr>
      </w:pPr>
      <w:r w:rsidRPr="00955AC1">
        <w:rPr>
          <w:rFonts w:ascii="Times New Roman" w:hAnsi="Times New Roman" w:cs="Times New Roman"/>
          <w:color w:val="A6A6A6" w:themeColor="background1" w:themeShade="A6"/>
        </w:rPr>
        <w:t>Published</w:t>
      </w:r>
      <w:r w:rsidR="00741177" w:rsidRPr="00955AC1">
        <w:rPr>
          <w:rFonts w:ascii="Times New Roman" w:hAnsi="Times New Roman" w:cs="Times New Roman"/>
          <w:color w:val="A6A6A6" w:themeColor="background1" w:themeShade="A6"/>
        </w:rPr>
        <w:t xml:space="preserve"> </w:t>
      </w:r>
      <w:r w:rsidR="0048024C" w:rsidRPr="00955AC1">
        <w:rPr>
          <w:rFonts w:ascii="Times New Roman" w:hAnsi="Times New Roman" w:cs="Times New Roman"/>
          <w:color w:val="A6A6A6" w:themeColor="background1" w:themeShade="A6"/>
        </w:rPr>
        <w:t>February 25</w:t>
      </w:r>
      <w:r w:rsidR="007C0246" w:rsidRPr="00955AC1">
        <w:rPr>
          <w:rFonts w:ascii="Times New Roman" w:hAnsi="Times New Roman" w:cs="Times New Roman"/>
          <w:color w:val="A6A6A6" w:themeColor="background1" w:themeShade="A6"/>
        </w:rPr>
        <w:t>, 202</w:t>
      </w:r>
      <w:r w:rsidR="00E91E6E" w:rsidRPr="00955AC1">
        <w:rPr>
          <w:rFonts w:ascii="Times New Roman" w:hAnsi="Times New Roman" w:cs="Times New Roman"/>
          <w:color w:val="A6A6A6" w:themeColor="background1" w:themeShade="A6"/>
        </w:rPr>
        <w:t>2</w:t>
      </w:r>
      <w:r w:rsidR="007C0246" w:rsidRPr="00955AC1">
        <w:rPr>
          <w:rFonts w:ascii="Times New Roman" w:hAnsi="Times New Roman" w:cs="Times New Roman"/>
          <w:noProof/>
        </w:rPr>
        <w:t xml:space="preserve"> </w:t>
      </w:r>
    </w:p>
    <w:p w14:paraId="30CF66E2" w14:textId="05825DB9" w:rsidR="00CE5ADE" w:rsidRPr="00955AC1" w:rsidRDefault="009C799D" w:rsidP="006D7569">
      <w:pPr>
        <w:spacing w:after="0"/>
        <w:rPr>
          <w:rFonts w:ascii="Times New Roman" w:hAnsi="Times New Roman" w:cs="Times New Roman"/>
          <w:noProof/>
          <w:color w:val="A6A6A6" w:themeColor="background1" w:themeShade="A6"/>
        </w:rPr>
      </w:pPr>
      <w:r w:rsidRPr="00955AC1">
        <w:rPr>
          <w:rFonts w:ascii="Times New Roman" w:hAnsi="Times New Roman" w:cs="Times New Roman"/>
          <w:noProof/>
          <w:color w:val="A6A6A6" w:themeColor="background1" w:themeShade="A6"/>
        </w:rPr>
        <w:t>Updated</w:t>
      </w:r>
      <w:r w:rsidR="00D8129A">
        <w:rPr>
          <w:rFonts w:ascii="Times New Roman" w:hAnsi="Times New Roman" w:cs="Times New Roman"/>
          <w:noProof/>
          <w:color w:val="A6A6A6" w:themeColor="background1" w:themeShade="A6"/>
        </w:rPr>
        <w:t xml:space="preserve"> October 11</w:t>
      </w:r>
      <w:r w:rsidR="006562C9" w:rsidRPr="00955AC1">
        <w:rPr>
          <w:rFonts w:ascii="Times New Roman" w:hAnsi="Times New Roman" w:cs="Times New Roman"/>
          <w:noProof/>
          <w:color w:val="A6A6A6" w:themeColor="background1" w:themeShade="A6"/>
        </w:rPr>
        <w:t xml:space="preserve">, </w:t>
      </w:r>
      <w:r w:rsidR="00CF7A32" w:rsidRPr="00955AC1">
        <w:rPr>
          <w:rFonts w:ascii="Times New Roman" w:hAnsi="Times New Roman" w:cs="Times New Roman"/>
          <w:noProof/>
          <w:color w:val="A6A6A6" w:themeColor="background1" w:themeShade="A6"/>
        </w:rPr>
        <w:t>2022</w:t>
      </w:r>
      <w:r w:rsidR="0080150C" w:rsidRPr="00955AC1">
        <w:rPr>
          <w:rFonts w:ascii="Times New Roman" w:hAnsi="Times New Roman" w:cs="Times New Roman"/>
          <w:noProof/>
          <w:color w:val="A6A6A6" w:themeColor="background1" w:themeShade="A6"/>
        </w:rPr>
        <w:t xml:space="preserve"> </w:t>
      </w:r>
    </w:p>
    <w:p w14:paraId="3BAA02D4" w14:textId="7E6F77E5" w:rsidR="00E90677" w:rsidRPr="00955AC1" w:rsidRDefault="00EF4055" w:rsidP="00C80CAC">
      <w:pPr>
        <w:rPr>
          <w:rFonts w:ascii="Times New Roman" w:hAnsi="Times New Roman" w:cs="Times New Roman"/>
        </w:rPr>
      </w:pPr>
      <w:r w:rsidRPr="00955AC1">
        <w:rPr>
          <w:rFonts w:ascii="Times New Roman" w:hAnsi="Times New Roman" w:cs="Times New Roman"/>
        </w:rPr>
        <w:t xml:space="preserve"> </w:t>
      </w:r>
      <w:r w:rsidR="003E3AE5" w:rsidRPr="00955AC1">
        <w:rPr>
          <w:rFonts w:ascii="Times New Roman" w:hAnsi="Times New Roman" w:cs="Times New Roman"/>
        </w:rPr>
        <w:t xml:space="preserve"> </w:t>
      </w:r>
    </w:p>
    <w:p w14:paraId="0CFBFD79" w14:textId="27FE0838" w:rsidR="005A42ED" w:rsidRPr="00955AC1" w:rsidRDefault="000F162F" w:rsidP="00C80CAC">
      <w:pPr>
        <w:rPr>
          <w:rFonts w:ascii="Times New Roman" w:hAnsi="Times New Roman" w:cs="Times New Roman"/>
        </w:rPr>
      </w:pPr>
      <w:r w:rsidRPr="00955AC1">
        <w:rPr>
          <w:rFonts w:ascii="Times New Roman" w:hAnsi="Times New Roman" w:cs="Times New Roman"/>
        </w:rPr>
        <w:t xml:space="preserve">The pages that follow </w:t>
      </w:r>
      <w:r w:rsidR="00C80CAC" w:rsidRPr="00955AC1">
        <w:rPr>
          <w:rFonts w:ascii="Times New Roman" w:hAnsi="Times New Roman" w:cs="Times New Roman"/>
        </w:rPr>
        <w:t xml:space="preserve">are </w:t>
      </w:r>
      <w:r w:rsidR="009F2161" w:rsidRPr="00955AC1">
        <w:rPr>
          <w:rFonts w:ascii="Times New Roman" w:hAnsi="Times New Roman" w:cs="Times New Roman"/>
        </w:rPr>
        <w:t xml:space="preserve">DCA </w:t>
      </w:r>
      <w:r w:rsidR="00C80CAC" w:rsidRPr="00955AC1">
        <w:rPr>
          <w:rFonts w:ascii="Times New Roman" w:hAnsi="Times New Roman" w:cs="Times New Roman"/>
        </w:rPr>
        <w:t xml:space="preserve">responses to questions pertaining to </w:t>
      </w:r>
      <w:r w:rsidR="000657A6" w:rsidRPr="00955AC1">
        <w:rPr>
          <w:rFonts w:ascii="Times New Roman" w:hAnsi="Times New Roman" w:cs="Times New Roman"/>
        </w:rPr>
        <w:t xml:space="preserve">the </w:t>
      </w:r>
      <w:r w:rsidR="00F01542" w:rsidRPr="00955AC1">
        <w:rPr>
          <w:rFonts w:ascii="Times New Roman" w:hAnsi="Times New Roman" w:cs="Times New Roman"/>
        </w:rPr>
        <w:t>Housing Tax Credit</w:t>
      </w:r>
      <w:r w:rsidR="00E94F24" w:rsidRPr="00955AC1">
        <w:rPr>
          <w:rFonts w:ascii="Times New Roman" w:hAnsi="Times New Roman" w:cs="Times New Roman"/>
        </w:rPr>
        <w:t xml:space="preserve"> program</w:t>
      </w:r>
      <w:r w:rsidR="00F01542" w:rsidRPr="00955AC1">
        <w:rPr>
          <w:rFonts w:ascii="Times New Roman" w:hAnsi="Times New Roman" w:cs="Times New Roman"/>
        </w:rPr>
        <w:t>.</w:t>
      </w:r>
      <w:r w:rsidR="00402C8E" w:rsidRPr="00955AC1">
        <w:rPr>
          <w:rFonts w:ascii="Times New Roman" w:hAnsi="Times New Roman" w:cs="Times New Roman"/>
        </w:rPr>
        <w:t xml:space="preserve"> </w:t>
      </w:r>
    </w:p>
    <w:p w14:paraId="3FE01ED7" w14:textId="0885E8B7" w:rsidR="005A266F" w:rsidRPr="00955AC1" w:rsidRDefault="005A266F" w:rsidP="005A266F">
      <w:pPr>
        <w:pStyle w:val="Heading1"/>
        <w:rPr>
          <w:rFonts w:cs="Times New Roman"/>
        </w:rPr>
      </w:pPr>
      <w:r w:rsidRPr="00955AC1">
        <w:rPr>
          <w:rFonts w:cs="Times New Roman"/>
        </w:rPr>
        <w:t>Part I: Overview</w:t>
      </w:r>
    </w:p>
    <w:p w14:paraId="2F289F9B" w14:textId="386378C6" w:rsidR="006704F3" w:rsidRPr="00955AC1" w:rsidRDefault="006704F3" w:rsidP="006704F3">
      <w:pPr>
        <w:pStyle w:val="Heading2"/>
        <w:rPr>
          <w:rFonts w:cs="Times New Roman"/>
        </w:rPr>
      </w:pPr>
      <w:r w:rsidRPr="00955AC1">
        <w:rPr>
          <w:rFonts w:cs="Times New Roman"/>
        </w:rPr>
        <w:t>Submit</w:t>
      </w:r>
      <w:r w:rsidR="00CD1C00" w:rsidRPr="00955AC1">
        <w:rPr>
          <w:rFonts w:cs="Times New Roman"/>
        </w:rPr>
        <w:t>ting</w:t>
      </w:r>
      <w:r w:rsidRPr="00955AC1">
        <w:rPr>
          <w:rFonts w:cs="Times New Roman"/>
        </w:rPr>
        <w:t xml:space="preserve"> Questions</w:t>
      </w:r>
    </w:p>
    <w:p w14:paraId="5B270D2B" w14:textId="3A67213F" w:rsidR="004C6455" w:rsidRPr="00955AC1" w:rsidRDefault="00865369" w:rsidP="00C80CAC">
      <w:pPr>
        <w:rPr>
          <w:rFonts w:ascii="Times New Roman" w:hAnsi="Times New Roman" w:cs="Times New Roman"/>
        </w:rPr>
      </w:pPr>
      <w:r w:rsidRPr="00955AC1">
        <w:rPr>
          <w:rFonts w:ascii="Times New Roman" w:hAnsi="Times New Roman" w:cs="Times New Roman"/>
        </w:rPr>
        <w:t>Q</w:t>
      </w:r>
      <w:r w:rsidR="00C80CAC" w:rsidRPr="00955AC1">
        <w:rPr>
          <w:rFonts w:ascii="Times New Roman" w:hAnsi="Times New Roman" w:cs="Times New Roman"/>
        </w:rPr>
        <w:t xml:space="preserve">uestions must be submitted through the online </w:t>
      </w:r>
      <w:r w:rsidR="003F2D75" w:rsidRPr="00955AC1">
        <w:rPr>
          <w:rFonts w:ascii="Times New Roman" w:hAnsi="Times New Roman" w:cs="Times New Roman"/>
        </w:rPr>
        <w:t>2022</w:t>
      </w:r>
      <w:r w:rsidR="00C67543" w:rsidRPr="00955AC1">
        <w:rPr>
          <w:rFonts w:ascii="Times New Roman" w:hAnsi="Times New Roman" w:cs="Times New Roman"/>
        </w:rPr>
        <w:t xml:space="preserve"> </w:t>
      </w:r>
      <w:r w:rsidR="001344B0" w:rsidRPr="00955AC1">
        <w:rPr>
          <w:rFonts w:ascii="Times New Roman" w:hAnsi="Times New Roman" w:cs="Times New Roman"/>
        </w:rPr>
        <w:t>Housing Tax Credit</w:t>
      </w:r>
      <w:r w:rsidR="00A56DE6" w:rsidRPr="00955AC1">
        <w:rPr>
          <w:rFonts w:ascii="Times New Roman" w:hAnsi="Times New Roman" w:cs="Times New Roman"/>
        </w:rPr>
        <w:t xml:space="preserve"> </w:t>
      </w:r>
      <w:r w:rsidR="00A93549" w:rsidRPr="00955AC1">
        <w:rPr>
          <w:rFonts w:ascii="Times New Roman" w:hAnsi="Times New Roman" w:cs="Times New Roman"/>
        </w:rPr>
        <w:t xml:space="preserve">program </w:t>
      </w:r>
      <w:r w:rsidR="00C80CAC" w:rsidRPr="00955AC1">
        <w:rPr>
          <w:rFonts w:ascii="Times New Roman" w:hAnsi="Times New Roman" w:cs="Times New Roman"/>
        </w:rPr>
        <w:t xml:space="preserve">Q&amp;A </w:t>
      </w:r>
      <w:r w:rsidR="004B66C7" w:rsidRPr="00955AC1">
        <w:rPr>
          <w:rFonts w:ascii="Times New Roman" w:hAnsi="Times New Roman" w:cs="Times New Roman"/>
        </w:rPr>
        <w:t xml:space="preserve">survey </w:t>
      </w:r>
      <w:r w:rsidR="00C80CAC" w:rsidRPr="00955AC1">
        <w:rPr>
          <w:rFonts w:ascii="Times New Roman" w:hAnsi="Times New Roman" w:cs="Times New Roman"/>
        </w:rPr>
        <w:t xml:space="preserve">hosted on the </w:t>
      </w:r>
      <w:r w:rsidR="00140B5A" w:rsidRPr="00955AC1">
        <w:rPr>
          <w:rFonts w:ascii="Times New Roman" w:hAnsi="Times New Roman" w:cs="Times New Roman"/>
        </w:rPr>
        <w:t>“</w:t>
      </w:r>
      <w:r w:rsidR="00C80CAC" w:rsidRPr="00955AC1">
        <w:rPr>
          <w:rFonts w:ascii="Times New Roman" w:hAnsi="Times New Roman" w:cs="Times New Roman"/>
        </w:rPr>
        <w:t>202</w:t>
      </w:r>
      <w:r w:rsidR="0046638A" w:rsidRPr="00955AC1">
        <w:rPr>
          <w:rFonts w:ascii="Times New Roman" w:hAnsi="Times New Roman" w:cs="Times New Roman"/>
        </w:rPr>
        <w:t>2</w:t>
      </w:r>
      <w:r w:rsidR="00C80CAC" w:rsidRPr="00955AC1">
        <w:rPr>
          <w:rFonts w:ascii="Times New Roman" w:hAnsi="Times New Roman" w:cs="Times New Roman"/>
        </w:rPr>
        <w:t xml:space="preserve"> QAP and Related Documents</w:t>
      </w:r>
      <w:r w:rsidR="00140B5A" w:rsidRPr="00955AC1">
        <w:rPr>
          <w:rFonts w:ascii="Times New Roman" w:hAnsi="Times New Roman" w:cs="Times New Roman"/>
        </w:rPr>
        <w:t>”</w:t>
      </w:r>
      <w:r w:rsidR="00C80CAC" w:rsidRPr="00955AC1">
        <w:rPr>
          <w:rFonts w:ascii="Times New Roman" w:hAnsi="Times New Roman" w:cs="Times New Roman"/>
        </w:rPr>
        <w:t xml:space="preserve"> webpage </w:t>
      </w:r>
      <w:r w:rsidR="004D60EA" w:rsidRPr="00955AC1">
        <w:rPr>
          <w:rFonts w:ascii="Times New Roman" w:hAnsi="Times New Roman" w:cs="Times New Roman"/>
        </w:rPr>
        <w:t xml:space="preserve">of the DCA website </w:t>
      </w:r>
      <w:r w:rsidR="00C80CAC" w:rsidRPr="00955AC1">
        <w:rPr>
          <w:rFonts w:ascii="Times New Roman" w:hAnsi="Times New Roman" w:cs="Times New Roman"/>
        </w:rPr>
        <w:t>(</w:t>
      </w:r>
      <w:hyperlink r:id="rId12" w:history="1">
        <w:r w:rsidR="00134B56" w:rsidRPr="00955AC1">
          <w:rPr>
            <w:rStyle w:val="Hyperlink"/>
            <w:rFonts w:ascii="Times New Roman" w:hAnsi="Times New Roman" w:cs="Times New Roman"/>
          </w:rPr>
          <w:t>click here</w:t>
        </w:r>
      </w:hyperlink>
      <w:r w:rsidR="00134B56" w:rsidRPr="00955AC1">
        <w:rPr>
          <w:rStyle w:val="Hyperlink"/>
          <w:rFonts w:ascii="Times New Roman" w:hAnsi="Times New Roman" w:cs="Times New Roman"/>
          <w:color w:val="auto"/>
          <w:u w:val="none"/>
        </w:rPr>
        <w:t xml:space="preserve"> and select “Submit a Question”</w:t>
      </w:r>
      <w:r w:rsidR="00134B56" w:rsidRPr="00955AC1">
        <w:rPr>
          <w:rFonts w:ascii="Times New Roman" w:hAnsi="Times New Roman" w:cs="Times New Roman"/>
        </w:rPr>
        <w:t>)</w:t>
      </w:r>
      <w:r w:rsidR="00C80CAC" w:rsidRPr="00955AC1">
        <w:rPr>
          <w:rFonts w:ascii="Times New Roman" w:hAnsi="Times New Roman" w:cs="Times New Roman"/>
        </w:rPr>
        <w:t xml:space="preserve">. </w:t>
      </w:r>
    </w:p>
    <w:p w14:paraId="2E528202" w14:textId="298E8185" w:rsidR="004C6455" w:rsidRPr="00955AC1" w:rsidRDefault="003F1CA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Having </w:t>
      </w:r>
      <w:r w:rsidR="004E7E05" w:rsidRPr="00955AC1">
        <w:rPr>
          <w:rFonts w:ascii="Times New Roman" w:hAnsi="Times New Roman" w:cs="Times New Roman"/>
          <w:b/>
          <w:bCs/>
        </w:rPr>
        <w:t xml:space="preserve">issues using the </w:t>
      </w:r>
      <w:r w:rsidRPr="00955AC1">
        <w:rPr>
          <w:rFonts w:ascii="Times New Roman" w:hAnsi="Times New Roman" w:cs="Times New Roman"/>
          <w:b/>
          <w:bCs/>
        </w:rPr>
        <w:t xml:space="preserve">online </w:t>
      </w:r>
      <w:r w:rsidR="004E7E05" w:rsidRPr="00955AC1">
        <w:rPr>
          <w:rFonts w:ascii="Times New Roman" w:hAnsi="Times New Roman" w:cs="Times New Roman"/>
          <w:b/>
          <w:bCs/>
        </w:rPr>
        <w:t>survey</w:t>
      </w:r>
      <w:r w:rsidR="004C2389" w:rsidRPr="00955AC1">
        <w:rPr>
          <w:rFonts w:ascii="Times New Roman" w:hAnsi="Times New Roman" w:cs="Times New Roman"/>
          <w:b/>
          <w:bCs/>
        </w:rPr>
        <w:t>?</w:t>
      </w:r>
      <w:r w:rsidR="004E7E05" w:rsidRPr="00955AC1">
        <w:rPr>
          <w:rFonts w:ascii="Times New Roman" w:hAnsi="Times New Roman" w:cs="Times New Roman"/>
        </w:rPr>
        <w:t xml:space="preserve"> P</w:t>
      </w:r>
      <w:r w:rsidR="00CD140E" w:rsidRPr="00955AC1">
        <w:rPr>
          <w:rFonts w:ascii="Times New Roman" w:hAnsi="Times New Roman" w:cs="Times New Roman"/>
        </w:rPr>
        <w:t xml:space="preserve">lease email </w:t>
      </w:r>
      <w:hyperlink r:id="rId13" w:history="1">
        <w:r w:rsidR="00CD140E" w:rsidRPr="00955AC1">
          <w:rPr>
            <w:rStyle w:val="Hyperlink"/>
            <w:rFonts w:ascii="Times New Roman" w:hAnsi="Times New Roman" w:cs="Times New Roman"/>
          </w:rPr>
          <w:t>hfdround@dca.ga.gov</w:t>
        </w:r>
      </w:hyperlink>
      <w:r w:rsidR="00CD140E" w:rsidRPr="00955AC1">
        <w:rPr>
          <w:rFonts w:ascii="Times New Roman" w:hAnsi="Times New Roman" w:cs="Times New Roman"/>
        </w:rPr>
        <w:t xml:space="preserve">. </w:t>
      </w:r>
    </w:p>
    <w:p w14:paraId="7AADDF75" w14:textId="77777777" w:rsidR="00980FCE" w:rsidRPr="00955AC1" w:rsidRDefault="009E0E40"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Concerned </w:t>
      </w:r>
      <w:r w:rsidR="00935E6E" w:rsidRPr="00955AC1">
        <w:rPr>
          <w:rFonts w:ascii="Times New Roman" w:hAnsi="Times New Roman" w:cs="Times New Roman"/>
          <w:b/>
          <w:bCs/>
        </w:rPr>
        <w:t xml:space="preserve">about the timing of DCA’s response? </w:t>
      </w:r>
    </w:p>
    <w:p w14:paraId="28DE8BF9" w14:textId="5230886D" w:rsidR="00B75985" w:rsidRPr="00955AC1" w:rsidRDefault="00160EFE"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w:t>
      </w:r>
      <w:r w:rsidR="00A50962" w:rsidRPr="00955AC1">
        <w:rPr>
          <w:rFonts w:ascii="Times New Roman" w:hAnsi="Times New Roman" w:cs="Times New Roman"/>
        </w:rPr>
        <w:t xml:space="preserve">you believe a question is </w:t>
      </w:r>
      <w:r w:rsidR="009F7F0B" w:rsidRPr="00955AC1">
        <w:rPr>
          <w:rFonts w:ascii="Times New Roman" w:hAnsi="Times New Roman" w:cs="Times New Roman"/>
        </w:rPr>
        <w:t>time sensitive and should be prioritized</w:t>
      </w:r>
      <w:r w:rsidR="00666D5B" w:rsidRPr="00955AC1">
        <w:rPr>
          <w:rFonts w:ascii="Times New Roman" w:hAnsi="Times New Roman" w:cs="Times New Roman"/>
        </w:rPr>
        <w:t xml:space="preserve"> for publication</w:t>
      </w:r>
      <w:r w:rsidR="009F7F0B" w:rsidRPr="00955AC1">
        <w:rPr>
          <w:rFonts w:ascii="Times New Roman" w:hAnsi="Times New Roman" w:cs="Times New Roman"/>
        </w:rPr>
        <w:t xml:space="preserve">, </w:t>
      </w:r>
      <w:r w:rsidR="00B36E85" w:rsidRPr="00955AC1">
        <w:rPr>
          <w:rFonts w:ascii="Times New Roman" w:hAnsi="Times New Roman" w:cs="Times New Roman"/>
        </w:rPr>
        <w:t xml:space="preserve">please indicate this in </w:t>
      </w:r>
      <w:r w:rsidR="003A242F" w:rsidRPr="00955AC1">
        <w:rPr>
          <w:rFonts w:ascii="Times New Roman" w:hAnsi="Times New Roman" w:cs="Times New Roman"/>
        </w:rPr>
        <w:t>your submission</w:t>
      </w:r>
      <w:r w:rsidR="00B36E85" w:rsidRPr="00955AC1">
        <w:rPr>
          <w:rFonts w:ascii="Times New Roman" w:hAnsi="Times New Roman" w:cs="Times New Roman"/>
        </w:rPr>
        <w:t xml:space="preserve">. </w:t>
      </w:r>
    </w:p>
    <w:p w14:paraId="0E30F057" w14:textId="30C0B8F9" w:rsidR="00ED26AE" w:rsidRPr="00955AC1" w:rsidRDefault="00666D5B" w:rsidP="006F437F">
      <w:pPr>
        <w:pStyle w:val="ListParagraph"/>
        <w:numPr>
          <w:ilvl w:val="1"/>
          <w:numId w:val="3"/>
        </w:numPr>
        <w:rPr>
          <w:rFonts w:ascii="Times New Roman" w:hAnsi="Times New Roman" w:cs="Times New Roman"/>
        </w:rPr>
      </w:pPr>
      <w:r w:rsidRPr="00955AC1">
        <w:rPr>
          <w:rFonts w:ascii="Times New Roman" w:hAnsi="Times New Roman" w:cs="Times New Roman"/>
        </w:rPr>
        <w:t xml:space="preserve">If you have already </w:t>
      </w:r>
      <w:r w:rsidR="00B34178" w:rsidRPr="00955AC1">
        <w:rPr>
          <w:rFonts w:ascii="Times New Roman" w:hAnsi="Times New Roman" w:cs="Times New Roman"/>
        </w:rPr>
        <w:t xml:space="preserve">submitted your question and are concerned about DCA’s response timing, please email </w:t>
      </w:r>
      <w:hyperlink r:id="rId14" w:history="1">
        <w:r w:rsidR="00305E3C" w:rsidRPr="00955AC1">
          <w:rPr>
            <w:rStyle w:val="Hyperlink"/>
            <w:rFonts w:ascii="Times New Roman" w:hAnsi="Times New Roman" w:cs="Times New Roman"/>
          </w:rPr>
          <w:t>hfdround@dca.ga.gov</w:t>
        </w:r>
      </w:hyperlink>
      <w:r w:rsidR="00557B16" w:rsidRPr="00955AC1">
        <w:rPr>
          <w:rFonts w:ascii="Times New Roman" w:hAnsi="Times New Roman" w:cs="Times New Roman"/>
        </w:rPr>
        <w:t xml:space="preserve">. </w:t>
      </w:r>
    </w:p>
    <w:p w14:paraId="483D250E" w14:textId="3A8FD1C2" w:rsidR="0026322C" w:rsidRPr="00955AC1" w:rsidRDefault="00ED26AE"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Have a project-specific question?</w:t>
      </w:r>
      <w:r w:rsidRPr="00955AC1">
        <w:rPr>
          <w:rFonts w:ascii="Times New Roman" w:hAnsi="Times New Roman" w:cs="Times New Roman"/>
        </w:rPr>
        <w:t xml:space="preserve"> </w:t>
      </w:r>
      <w:r w:rsidR="00037557" w:rsidRPr="00955AC1">
        <w:rPr>
          <w:rFonts w:ascii="Times New Roman" w:hAnsi="Times New Roman" w:cs="Times New Roman"/>
        </w:rPr>
        <w:t xml:space="preserve">There is no separate option for “project-specific” questions. </w:t>
      </w:r>
      <w:r w:rsidR="00A01F3E" w:rsidRPr="00955AC1">
        <w:rPr>
          <w:rFonts w:ascii="Times New Roman" w:hAnsi="Times New Roman" w:cs="Times New Roman"/>
        </w:rPr>
        <w:t>A</w:t>
      </w:r>
      <w:r w:rsidR="003F73AF" w:rsidRPr="00955AC1">
        <w:rPr>
          <w:rFonts w:ascii="Times New Roman" w:hAnsi="Times New Roman" w:cs="Times New Roman"/>
        </w:rPr>
        <w:t xml:space="preserve">ll questions </w:t>
      </w:r>
      <w:r w:rsidR="00281571" w:rsidRPr="00955AC1">
        <w:rPr>
          <w:rFonts w:ascii="Times New Roman" w:hAnsi="Times New Roman" w:cs="Times New Roman"/>
        </w:rPr>
        <w:t>go through the same</w:t>
      </w:r>
      <w:r w:rsidR="00A879AB" w:rsidRPr="00955AC1">
        <w:rPr>
          <w:rFonts w:ascii="Times New Roman" w:hAnsi="Times New Roman" w:cs="Times New Roman"/>
        </w:rPr>
        <w:t xml:space="preserve"> publication process. </w:t>
      </w:r>
      <w:r w:rsidR="005B2371" w:rsidRPr="00955AC1">
        <w:rPr>
          <w:rFonts w:ascii="Times New Roman" w:hAnsi="Times New Roman" w:cs="Times New Roman"/>
        </w:rPr>
        <w:t xml:space="preserve"> </w:t>
      </w:r>
      <w:r w:rsidR="002E6451" w:rsidRPr="00955AC1">
        <w:rPr>
          <w:rFonts w:ascii="Times New Roman" w:hAnsi="Times New Roman" w:cs="Times New Roman"/>
        </w:rPr>
        <w:t xml:space="preserve"> </w:t>
      </w:r>
    </w:p>
    <w:p w14:paraId="429BCD4E" w14:textId="5994FD4E" w:rsidR="00320169" w:rsidRPr="00955AC1" w:rsidRDefault="00320169" w:rsidP="006F437F">
      <w:pPr>
        <w:pStyle w:val="ListParagraph"/>
        <w:numPr>
          <w:ilvl w:val="0"/>
          <w:numId w:val="3"/>
        </w:numPr>
        <w:rPr>
          <w:rFonts w:ascii="Times New Roman" w:hAnsi="Times New Roman" w:cs="Times New Roman"/>
        </w:rPr>
      </w:pPr>
      <w:r w:rsidRPr="00955AC1">
        <w:rPr>
          <w:rFonts w:ascii="Times New Roman" w:hAnsi="Times New Roman" w:cs="Times New Roman"/>
          <w:b/>
          <w:bCs/>
        </w:rPr>
        <w:t xml:space="preserve">Want to </w:t>
      </w:r>
      <w:r w:rsidR="00D80A78" w:rsidRPr="00955AC1">
        <w:rPr>
          <w:rFonts w:ascii="Times New Roman" w:hAnsi="Times New Roman" w:cs="Times New Roman"/>
          <w:b/>
          <w:bCs/>
        </w:rPr>
        <w:t xml:space="preserve">add context to </w:t>
      </w:r>
      <w:r w:rsidRPr="00955AC1">
        <w:rPr>
          <w:rFonts w:ascii="Times New Roman" w:hAnsi="Times New Roman" w:cs="Times New Roman"/>
          <w:b/>
          <w:bCs/>
        </w:rPr>
        <w:t>a previously</w:t>
      </w:r>
      <w:r w:rsidR="00243C0C" w:rsidRPr="00955AC1">
        <w:rPr>
          <w:rFonts w:ascii="Times New Roman" w:hAnsi="Times New Roman" w:cs="Times New Roman"/>
          <w:b/>
          <w:bCs/>
        </w:rPr>
        <w:t>-</w:t>
      </w:r>
      <w:r w:rsidRPr="00955AC1">
        <w:rPr>
          <w:rFonts w:ascii="Times New Roman" w:hAnsi="Times New Roman" w:cs="Times New Roman"/>
          <w:b/>
          <w:bCs/>
        </w:rPr>
        <w:t xml:space="preserve">submitted question? </w:t>
      </w:r>
      <w:r w:rsidR="00EA4A6E" w:rsidRPr="00955AC1">
        <w:rPr>
          <w:rFonts w:ascii="Times New Roman" w:hAnsi="Times New Roman" w:cs="Times New Roman"/>
        </w:rPr>
        <w:t xml:space="preserve">DCA updates </w:t>
      </w:r>
      <w:r w:rsidR="00526338" w:rsidRPr="00955AC1">
        <w:rPr>
          <w:rFonts w:ascii="Times New Roman" w:hAnsi="Times New Roman" w:cs="Times New Roman"/>
        </w:rPr>
        <w:t>the Q&amp;A postings based on what has been submitted through the online survey. To ensure your comment is considered, please</w:t>
      </w:r>
      <w:r w:rsidR="00EA4A6E" w:rsidRPr="00955AC1">
        <w:rPr>
          <w:rFonts w:ascii="Times New Roman" w:hAnsi="Times New Roman" w:cs="Times New Roman"/>
        </w:rPr>
        <w:t xml:space="preserve"> </w:t>
      </w:r>
      <w:r w:rsidR="00756E57" w:rsidRPr="00955AC1">
        <w:rPr>
          <w:rFonts w:ascii="Times New Roman" w:hAnsi="Times New Roman" w:cs="Times New Roman"/>
        </w:rPr>
        <w:t xml:space="preserve">do not email individual DCA staff. Instead, please submit your additional context through the online survey </w:t>
      </w:r>
      <w:r w:rsidR="00CC47B6" w:rsidRPr="00955AC1">
        <w:rPr>
          <w:rFonts w:ascii="Times New Roman" w:hAnsi="Times New Roman" w:cs="Times New Roman"/>
        </w:rPr>
        <w:t>and reference the previously-submitted question.</w:t>
      </w:r>
      <w:r w:rsidR="00447698" w:rsidRPr="00955AC1">
        <w:rPr>
          <w:rFonts w:ascii="Times New Roman" w:hAnsi="Times New Roman" w:cs="Times New Roman"/>
        </w:rPr>
        <w:t xml:space="preserve"> </w:t>
      </w:r>
      <w:r w:rsidRPr="00955AC1">
        <w:rPr>
          <w:rFonts w:ascii="Times New Roman" w:hAnsi="Times New Roman" w:cs="Times New Roman"/>
        </w:rPr>
        <w:t xml:space="preserve"> </w:t>
      </w:r>
    </w:p>
    <w:p w14:paraId="568508D4" w14:textId="16C441B5" w:rsidR="004C6455" w:rsidRPr="00955AC1" w:rsidRDefault="004C6455" w:rsidP="00ED26AE">
      <w:pPr>
        <w:rPr>
          <w:rFonts w:ascii="Times New Roman" w:hAnsi="Times New Roman" w:cs="Times New Roman"/>
        </w:rPr>
      </w:pPr>
    </w:p>
    <w:p w14:paraId="16987001" w14:textId="79948190" w:rsidR="003658C9" w:rsidRPr="00955AC1" w:rsidRDefault="0029286B" w:rsidP="0029286B">
      <w:pPr>
        <w:pStyle w:val="Heading2"/>
        <w:rPr>
          <w:rFonts w:cs="Times New Roman"/>
        </w:rPr>
      </w:pPr>
      <w:r w:rsidRPr="00955AC1">
        <w:rPr>
          <w:rFonts w:cs="Times New Roman"/>
        </w:rPr>
        <w:t>Deadline to Submit Questions</w:t>
      </w:r>
      <w:r w:rsidR="008E7E42" w:rsidRPr="00955AC1">
        <w:rPr>
          <w:rFonts w:cs="Times New Roman"/>
        </w:rPr>
        <w:t xml:space="preserve"> for 4%/Bonds Competitive Round </w:t>
      </w:r>
    </w:p>
    <w:p w14:paraId="3525455B" w14:textId="181469CF" w:rsidR="00131FA9" w:rsidRPr="00955AC1" w:rsidRDefault="00591E07"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The deadline to submit questions </w:t>
      </w:r>
      <w:r w:rsidR="00F37773" w:rsidRPr="00955AC1">
        <w:rPr>
          <w:rFonts w:ascii="Times New Roman" w:hAnsi="Times New Roman" w:cs="Times New Roman"/>
        </w:rPr>
        <w:t xml:space="preserve">for purposes of the 4%/Bonds Competitive Round </w:t>
      </w:r>
      <w:r w:rsidRPr="00955AC1">
        <w:rPr>
          <w:rFonts w:ascii="Times New Roman" w:hAnsi="Times New Roman" w:cs="Times New Roman"/>
        </w:rPr>
        <w:t xml:space="preserve">is </w:t>
      </w:r>
      <w:r w:rsidR="009D3175" w:rsidRPr="00955AC1">
        <w:rPr>
          <w:rFonts w:ascii="Times New Roman" w:hAnsi="Times New Roman" w:cs="Times New Roman"/>
          <w:b/>
          <w:bCs/>
        </w:rPr>
        <w:t>Friday, September 30, 2022</w:t>
      </w:r>
      <w:r w:rsidR="00671BB9" w:rsidRPr="00955AC1">
        <w:rPr>
          <w:rFonts w:ascii="Times New Roman" w:hAnsi="Times New Roman" w:cs="Times New Roman"/>
        </w:rPr>
        <w:t>.</w:t>
      </w:r>
      <w:r w:rsidR="0094425C" w:rsidRPr="00955AC1">
        <w:rPr>
          <w:rFonts w:ascii="Times New Roman" w:hAnsi="Times New Roman" w:cs="Times New Roman"/>
        </w:rPr>
        <w:t xml:space="preserve"> </w:t>
      </w:r>
    </w:p>
    <w:p w14:paraId="372C529F" w14:textId="00B58336" w:rsidR="00F93A97" w:rsidRPr="00955AC1" w:rsidRDefault="004D7806" w:rsidP="006F437F">
      <w:pPr>
        <w:pStyle w:val="ListParagraph"/>
        <w:numPr>
          <w:ilvl w:val="0"/>
          <w:numId w:val="53"/>
        </w:numPr>
        <w:rPr>
          <w:rFonts w:ascii="Times New Roman" w:hAnsi="Times New Roman" w:cs="Times New Roman"/>
        </w:rPr>
      </w:pPr>
      <w:r w:rsidRPr="00955AC1">
        <w:rPr>
          <w:rFonts w:ascii="Times New Roman" w:hAnsi="Times New Roman" w:cs="Times New Roman"/>
        </w:rPr>
        <w:t>This deadline is to ensure that</w:t>
      </w:r>
      <w:r w:rsidR="000D7DA3" w:rsidRPr="00955AC1">
        <w:rPr>
          <w:rFonts w:ascii="Times New Roman" w:hAnsi="Times New Roman" w:cs="Times New Roman"/>
        </w:rPr>
        <w:t xml:space="preserve"> all applicants have sufficient time to</w:t>
      </w:r>
      <w:r w:rsidR="00081752" w:rsidRPr="00955AC1">
        <w:rPr>
          <w:rFonts w:ascii="Times New Roman" w:hAnsi="Times New Roman" w:cs="Times New Roman"/>
        </w:rPr>
        <w:t xml:space="preserve"> </w:t>
      </w:r>
      <w:r w:rsidR="003E2E40" w:rsidRPr="00955AC1">
        <w:rPr>
          <w:rFonts w:ascii="Times New Roman" w:hAnsi="Times New Roman" w:cs="Times New Roman"/>
        </w:rPr>
        <w:t xml:space="preserve">react </w:t>
      </w:r>
      <w:r w:rsidR="00081752" w:rsidRPr="00955AC1">
        <w:rPr>
          <w:rFonts w:ascii="Times New Roman" w:hAnsi="Times New Roman" w:cs="Times New Roman"/>
        </w:rPr>
        <w:t xml:space="preserve">to </w:t>
      </w:r>
      <w:r w:rsidR="00A029B5" w:rsidRPr="00955AC1">
        <w:rPr>
          <w:rFonts w:ascii="Times New Roman" w:hAnsi="Times New Roman" w:cs="Times New Roman"/>
        </w:rPr>
        <w:t xml:space="preserve">posted DCA responses </w:t>
      </w:r>
      <w:r w:rsidR="00322065" w:rsidRPr="00955AC1">
        <w:rPr>
          <w:rFonts w:ascii="Times New Roman" w:hAnsi="Times New Roman" w:cs="Times New Roman"/>
        </w:rPr>
        <w:t>before the application submission deadline</w:t>
      </w:r>
      <w:r w:rsidR="00CB5B83" w:rsidRPr="00955AC1">
        <w:rPr>
          <w:rFonts w:ascii="Times New Roman" w:hAnsi="Times New Roman" w:cs="Times New Roman"/>
        </w:rPr>
        <w:t xml:space="preserve">. </w:t>
      </w:r>
    </w:p>
    <w:p w14:paraId="70C79854" w14:textId="54209A7B" w:rsidR="00321263" w:rsidRPr="00955AC1" w:rsidRDefault="00321263" w:rsidP="006F437F">
      <w:pPr>
        <w:pStyle w:val="ListParagraph"/>
        <w:numPr>
          <w:ilvl w:val="0"/>
          <w:numId w:val="53"/>
        </w:numPr>
        <w:rPr>
          <w:rFonts w:ascii="Times New Roman" w:hAnsi="Times New Roman" w:cs="Times New Roman"/>
        </w:rPr>
      </w:pPr>
      <w:r w:rsidRPr="00955AC1">
        <w:rPr>
          <w:rFonts w:ascii="Times New Roman" w:hAnsi="Times New Roman" w:cs="Times New Roman"/>
        </w:rPr>
        <w:t xml:space="preserve">After this deadline, DCA will only respond to questions pertaining to the mechanics of application submission (e.g., </w:t>
      </w:r>
      <w:r w:rsidR="00A77D26" w:rsidRPr="00955AC1">
        <w:rPr>
          <w:rFonts w:ascii="Times New Roman" w:hAnsi="Times New Roman" w:cs="Times New Roman"/>
        </w:rPr>
        <w:t xml:space="preserve">issues </w:t>
      </w:r>
      <w:r w:rsidR="002D6F1A" w:rsidRPr="00955AC1">
        <w:rPr>
          <w:rFonts w:ascii="Times New Roman" w:hAnsi="Times New Roman" w:cs="Times New Roman"/>
        </w:rPr>
        <w:t>accessing the online application portal</w:t>
      </w:r>
      <w:r w:rsidR="008C2106" w:rsidRPr="00955AC1">
        <w:rPr>
          <w:rFonts w:ascii="Times New Roman" w:hAnsi="Times New Roman" w:cs="Times New Roman"/>
        </w:rPr>
        <w:t xml:space="preserve">, </w:t>
      </w:r>
      <w:proofErr w:type="spellStart"/>
      <w:r w:rsidR="008C2106" w:rsidRPr="00955AC1">
        <w:rPr>
          <w:rFonts w:ascii="Times New Roman" w:hAnsi="Times New Roman" w:cs="Times New Roman"/>
        </w:rPr>
        <w:t>Emphasys</w:t>
      </w:r>
      <w:proofErr w:type="spellEnd"/>
      <w:r w:rsidR="002D6F1A" w:rsidRPr="00955AC1">
        <w:rPr>
          <w:rFonts w:ascii="Times New Roman" w:hAnsi="Times New Roman" w:cs="Times New Roman"/>
        </w:rPr>
        <w:t xml:space="preserve">). </w:t>
      </w:r>
      <w:r w:rsidR="00F239E2" w:rsidRPr="00955AC1">
        <w:rPr>
          <w:rFonts w:ascii="Times New Roman" w:hAnsi="Times New Roman" w:cs="Times New Roman"/>
        </w:rPr>
        <w:br/>
      </w:r>
    </w:p>
    <w:p w14:paraId="0343A782" w14:textId="05D2FF4D" w:rsidR="003E4094" w:rsidRPr="00955AC1" w:rsidRDefault="004007BE" w:rsidP="004007BE">
      <w:pPr>
        <w:pStyle w:val="Heading2"/>
        <w:rPr>
          <w:rFonts w:cs="Times New Roman"/>
        </w:rPr>
      </w:pPr>
      <w:r w:rsidRPr="00955AC1">
        <w:rPr>
          <w:rFonts w:cs="Times New Roman"/>
        </w:rPr>
        <w:t xml:space="preserve">Q&amp;A Document Update Process  </w:t>
      </w:r>
    </w:p>
    <w:p w14:paraId="1220E74B" w14:textId="77777777" w:rsidR="006508C5"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update the Q&amp;A document </w:t>
      </w:r>
      <w:r w:rsidR="00DD5513" w:rsidRPr="00955AC1">
        <w:rPr>
          <w:rFonts w:ascii="Times New Roman" w:hAnsi="Times New Roman" w:cs="Times New Roman"/>
        </w:rPr>
        <w:t xml:space="preserve">in small, incremental </w:t>
      </w:r>
      <w:r w:rsidR="006C26C3" w:rsidRPr="00955AC1">
        <w:rPr>
          <w:rFonts w:ascii="Times New Roman" w:hAnsi="Times New Roman" w:cs="Times New Roman"/>
        </w:rPr>
        <w:t xml:space="preserve">response </w:t>
      </w:r>
      <w:r w:rsidR="008C4E1D" w:rsidRPr="00955AC1">
        <w:rPr>
          <w:rFonts w:ascii="Times New Roman" w:hAnsi="Times New Roman" w:cs="Times New Roman"/>
        </w:rPr>
        <w:t>sets</w:t>
      </w:r>
      <w:r w:rsidR="008D68BE" w:rsidRPr="00955AC1">
        <w:rPr>
          <w:rFonts w:ascii="Times New Roman" w:hAnsi="Times New Roman" w:cs="Times New Roman"/>
        </w:rPr>
        <w:t xml:space="preserve">. </w:t>
      </w:r>
    </w:p>
    <w:p w14:paraId="01F7CC9B" w14:textId="3280CC0D" w:rsidR="00F6468A" w:rsidRPr="00955AC1" w:rsidRDefault="00C80CAC" w:rsidP="006F437F">
      <w:pPr>
        <w:pStyle w:val="ListParagraph"/>
        <w:numPr>
          <w:ilvl w:val="0"/>
          <w:numId w:val="54"/>
        </w:numPr>
        <w:rPr>
          <w:rFonts w:ascii="Times New Roman" w:hAnsi="Times New Roman" w:cs="Times New Roman"/>
        </w:rPr>
      </w:pPr>
      <w:r w:rsidRPr="00955AC1">
        <w:rPr>
          <w:rFonts w:ascii="Times New Roman" w:hAnsi="Times New Roman" w:cs="Times New Roman"/>
        </w:rPr>
        <w:t xml:space="preserve">DCA will not send an email notification each time the Q&amp;A document is updated. </w:t>
      </w:r>
    </w:p>
    <w:p w14:paraId="578FB17C" w14:textId="4A292F11" w:rsidR="00E92415" w:rsidRPr="00955AC1" w:rsidRDefault="004E0FC2" w:rsidP="006F437F">
      <w:pPr>
        <w:pStyle w:val="ListParagraph"/>
        <w:numPr>
          <w:ilvl w:val="0"/>
          <w:numId w:val="54"/>
        </w:numPr>
        <w:rPr>
          <w:rFonts w:ascii="Times New Roman" w:hAnsi="Times New Roman" w:cs="Times New Roman"/>
        </w:rPr>
      </w:pPr>
      <w:r w:rsidRPr="00955AC1">
        <w:rPr>
          <w:rFonts w:ascii="Times New Roman" w:hAnsi="Times New Roman" w:cs="Times New Roman"/>
        </w:rPr>
        <w:t>P</w:t>
      </w:r>
      <w:r w:rsidR="00C80CAC" w:rsidRPr="00955AC1">
        <w:rPr>
          <w:rFonts w:ascii="Times New Roman" w:hAnsi="Times New Roman" w:cs="Times New Roman"/>
        </w:rPr>
        <w:t xml:space="preserve">lease monitor the “Updated” date by the Q&amp;A document on the DCA website to track when DCA has released additional responses. </w:t>
      </w:r>
      <w:r w:rsidR="00C02D9E" w:rsidRPr="00955AC1">
        <w:rPr>
          <w:rFonts w:ascii="Times New Roman" w:hAnsi="Times New Roman" w:cs="Times New Roman"/>
        </w:rPr>
        <w:t xml:space="preserve">By default, the table below will be sorted such that the most recent responses are at the top. </w:t>
      </w:r>
      <w:r w:rsidR="00A903A7" w:rsidRPr="00955AC1">
        <w:rPr>
          <w:rFonts w:ascii="Times New Roman" w:hAnsi="Times New Roman" w:cs="Times New Roman"/>
        </w:rPr>
        <w:br/>
      </w:r>
    </w:p>
    <w:p w14:paraId="423C9AD6" w14:textId="1D6A3B26" w:rsidR="00FA1839" w:rsidRPr="00955AC1" w:rsidRDefault="00FA1839" w:rsidP="007C2E65">
      <w:pPr>
        <w:pStyle w:val="Heading2"/>
      </w:pPr>
      <w:r w:rsidRPr="00955AC1">
        <w:t>Note</w:t>
      </w:r>
      <w:r w:rsidR="00AF6E86" w:rsidRPr="00955AC1">
        <w:t xml:space="preserve"> on </w:t>
      </w:r>
      <w:r w:rsidRPr="00955AC1">
        <w:t xml:space="preserve">Q&amp;A </w:t>
      </w:r>
      <w:r w:rsidR="007160B4" w:rsidRPr="00955AC1">
        <w:t xml:space="preserve">Posted </w:t>
      </w:r>
      <w:r w:rsidR="00C131A2" w:rsidRPr="00955AC1">
        <w:t xml:space="preserve">for </w:t>
      </w:r>
      <w:r w:rsidR="004D099B" w:rsidRPr="00955AC1">
        <w:t xml:space="preserve">Purposes of </w:t>
      </w:r>
      <w:r w:rsidR="00C131A2" w:rsidRPr="00955AC1">
        <w:t xml:space="preserve">2022 9% Round </w:t>
      </w:r>
    </w:p>
    <w:p w14:paraId="7985FC31" w14:textId="2A25B681" w:rsidR="00FB6CCA" w:rsidRPr="00955AC1" w:rsidRDefault="009C216C" w:rsidP="007C2E65">
      <w:pPr>
        <w:rPr>
          <w:rFonts w:ascii="Times New Roman" w:hAnsi="Times New Roman" w:cs="Times New Roman"/>
        </w:rPr>
      </w:pPr>
      <w:r w:rsidRPr="00955AC1">
        <w:rPr>
          <w:rFonts w:ascii="Times New Roman" w:hAnsi="Times New Roman" w:cs="Times New Roman"/>
        </w:rPr>
        <w:t xml:space="preserve">This document includes only Q&amp;A relevant to </w:t>
      </w:r>
      <w:r w:rsidR="0018677C" w:rsidRPr="00955AC1">
        <w:rPr>
          <w:rFonts w:ascii="Times New Roman" w:hAnsi="Times New Roman" w:cs="Times New Roman"/>
        </w:rPr>
        <w:t>the 2022 4%/Bonds</w:t>
      </w:r>
      <w:r w:rsidRPr="00955AC1" w:rsidDel="00E92415">
        <w:rPr>
          <w:rFonts w:ascii="Times New Roman" w:hAnsi="Times New Roman" w:cs="Times New Roman"/>
        </w:rPr>
        <w:t xml:space="preserve"> </w:t>
      </w:r>
      <w:r w:rsidR="0018677C" w:rsidRPr="00955AC1">
        <w:rPr>
          <w:rFonts w:ascii="Times New Roman" w:hAnsi="Times New Roman" w:cs="Times New Roman"/>
        </w:rPr>
        <w:t xml:space="preserve">Round. </w:t>
      </w:r>
      <w:r w:rsidR="00FF4E8A" w:rsidRPr="00955AC1">
        <w:rPr>
          <w:rFonts w:ascii="Times New Roman" w:hAnsi="Times New Roman" w:cs="Times New Roman"/>
        </w:rPr>
        <w:t xml:space="preserve">This includes certain Q&amp;A postings that specifically reference the 9% Round, but for which DCA staff determined </w:t>
      </w:r>
      <w:r w:rsidR="00005564" w:rsidRPr="00955AC1">
        <w:rPr>
          <w:rFonts w:ascii="Times New Roman" w:hAnsi="Times New Roman" w:cs="Times New Roman"/>
        </w:rPr>
        <w:t xml:space="preserve">that </w:t>
      </w:r>
      <w:r w:rsidR="00FF4E8A" w:rsidRPr="00955AC1">
        <w:rPr>
          <w:rFonts w:ascii="Times New Roman" w:hAnsi="Times New Roman" w:cs="Times New Roman"/>
        </w:rPr>
        <w:t xml:space="preserve">the response </w:t>
      </w:r>
      <w:r w:rsidR="00AD71C2" w:rsidRPr="00955AC1">
        <w:rPr>
          <w:rFonts w:ascii="Times New Roman" w:hAnsi="Times New Roman" w:cs="Times New Roman"/>
        </w:rPr>
        <w:t xml:space="preserve">has the potential to impact </w:t>
      </w:r>
      <w:r w:rsidR="008E7BB0" w:rsidRPr="00955AC1">
        <w:rPr>
          <w:rFonts w:ascii="Times New Roman" w:hAnsi="Times New Roman" w:cs="Times New Roman"/>
        </w:rPr>
        <w:t xml:space="preserve">certain </w:t>
      </w:r>
      <w:r w:rsidR="00FF4E8A" w:rsidRPr="00955AC1">
        <w:rPr>
          <w:rFonts w:ascii="Times New Roman" w:hAnsi="Times New Roman" w:cs="Times New Roman"/>
        </w:rPr>
        <w:t xml:space="preserve">4%/Bonds applications. </w:t>
      </w:r>
      <w:r w:rsidR="00A903A7" w:rsidRPr="00955AC1">
        <w:rPr>
          <w:rFonts w:ascii="Times New Roman" w:hAnsi="Times New Roman" w:cs="Times New Roman"/>
        </w:rPr>
        <w:br/>
      </w:r>
    </w:p>
    <w:p w14:paraId="3B8D43A9" w14:textId="2347BC2B" w:rsidR="00C80CAC" w:rsidRPr="00955AC1" w:rsidRDefault="00C80CAC" w:rsidP="00035F89">
      <w:pPr>
        <w:pStyle w:val="Heading2"/>
        <w:rPr>
          <w:rFonts w:cs="Times New Roman"/>
        </w:rPr>
      </w:pPr>
      <w:r w:rsidRPr="00955AC1">
        <w:rPr>
          <w:rFonts w:cs="Times New Roman"/>
        </w:rPr>
        <w:t>Navigating</w:t>
      </w:r>
      <w:r w:rsidR="0095013A" w:rsidRPr="00955AC1">
        <w:rPr>
          <w:rFonts w:cs="Times New Roman"/>
        </w:rPr>
        <w:t xml:space="preserve"> the Q&amp;A Table</w:t>
      </w:r>
      <w:r w:rsidRPr="00955AC1">
        <w:rPr>
          <w:rFonts w:cs="Times New Roman"/>
        </w:rPr>
        <w:t xml:space="preserve"> </w:t>
      </w:r>
    </w:p>
    <w:p w14:paraId="0B956C17" w14:textId="1E3CC9A3" w:rsidR="00804F23" w:rsidRPr="00955AC1" w:rsidRDefault="00C80CAC" w:rsidP="00785F6D">
      <w:pPr>
        <w:rPr>
          <w:rFonts w:ascii="Times New Roman" w:hAnsi="Times New Roman" w:cs="Times New Roman"/>
        </w:rPr>
      </w:pPr>
      <w:r w:rsidRPr="00955AC1">
        <w:rPr>
          <w:rFonts w:ascii="Times New Roman" w:hAnsi="Times New Roman" w:cs="Times New Roman"/>
        </w:rPr>
        <w:t xml:space="preserve">The below table, as posted to the DCA website, is sorted in descending order by date posted. </w:t>
      </w:r>
      <w:r w:rsidR="002235D3" w:rsidRPr="00955AC1">
        <w:rPr>
          <w:rFonts w:ascii="Times New Roman" w:hAnsi="Times New Roman" w:cs="Times New Roman"/>
        </w:rPr>
        <w:t xml:space="preserve">If preferred, the </w:t>
      </w:r>
      <w:r w:rsidR="00382A45" w:rsidRPr="00955AC1">
        <w:rPr>
          <w:rFonts w:ascii="Times New Roman" w:hAnsi="Times New Roman" w:cs="Times New Roman"/>
        </w:rPr>
        <w:t xml:space="preserve">document </w:t>
      </w:r>
      <w:r w:rsidRPr="00955AC1">
        <w:rPr>
          <w:rFonts w:ascii="Times New Roman" w:hAnsi="Times New Roman" w:cs="Times New Roman"/>
        </w:rPr>
        <w:t xml:space="preserve">can </w:t>
      </w:r>
      <w:r w:rsidR="00DD4B22" w:rsidRPr="00955AC1">
        <w:rPr>
          <w:rFonts w:ascii="Times New Roman" w:hAnsi="Times New Roman" w:cs="Times New Roman"/>
        </w:rPr>
        <w:t xml:space="preserve">also </w:t>
      </w:r>
      <w:r w:rsidRPr="00955AC1">
        <w:rPr>
          <w:rFonts w:ascii="Times New Roman" w:hAnsi="Times New Roman" w:cs="Times New Roman"/>
        </w:rPr>
        <w:t>be sorted by category</w:t>
      </w:r>
      <w:r w:rsidR="00A32665" w:rsidRPr="00955AC1">
        <w:rPr>
          <w:rFonts w:ascii="Times New Roman" w:hAnsi="Times New Roman" w:cs="Times New Roman"/>
        </w:rPr>
        <w:t xml:space="preserve"> (in Microsoft Word, </w:t>
      </w:r>
      <w:r w:rsidR="00E85598" w:rsidRPr="00955AC1">
        <w:rPr>
          <w:rFonts w:ascii="Times New Roman" w:hAnsi="Times New Roman" w:cs="Times New Roman"/>
        </w:rPr>
        <w:t xml:space="preserve">select the full table, </w:t>
      </w:r>
      <w:r w:rsidR="00A32665" w:rsidRPr="00955AC1">
        <w:rPr>
          <w:rFonts w:ascii="Times New Roman" w:hAnsi="Times New Roman" w:cs="Times New Roman"/>
        </w:rPr>
        <w:t xml:space="preserve">select “Home” </w:t>
      </w:r>
      <w:r w:rsidR="0070417D" w:rsidRPr="00955AC1">
        <w:rPr>
          <w:rFonts w:ascii="Wingdings" w:eastAsia="Wingdings" w:hAnsi="Wingdings" w:cs="Wingdings"/>
        </w:rPr>
        <w:t>à</w:t>
      </w:r>
      <w:r w:rsidR="00A32665" w:rsidRPr="00955AC1">
        <w:rPr>
          <w:rFonts w:ascii="Times New Roman" w:hAnsi="Times New Roman" w:cs="Times New Roman"/>
        </w:rPr>
        <w:t xml:space="preserve"> </w:t>
      </w:r>
      <w:r w:rsidR="001C1B3F" w:rsidRPr="00955AC1">
        <w:rPr>
          <w:rFonts w:ascii="Times New Roman" w:hAnsi="Times New Roman" w:cs="Times New Roman"/>
        </w:rPr>
        <w:t>“Sort”</w:t>
      </w:r>
      <w:r w:rsidR="00B82A7F" w:rsidRPr="00955AC1">
        <w:rPr>
          <w:rFonts w:ascii="Times New Roman" w:hAnsi="Times New Roman" w:cs="Times New Roman"/>
        </w:rPr>
        <w:t xml:space="preserve">, </w:t>
      </w:r>
      <w:r w:rsidR="001C1B3F" w:rsidRPr="00955AC1">
        <w:rPr>
          <w:rFonts w:ascii="Times New Roman" w:hAnsi="Times New Roman" w:cs="Times New Roman"/>
        </w:rPr>
        <w:t xml:space="preserve">under </w:t>
      </w:r>
      <w:r w:rsidR="008B470F" w:rsidRPr="00955AC1">
        <w:rPr>
          <w:rFonts w:ascii="Times New Roman" w:hAnsi="Times New Roman" w:cs="Times New Roman"/>
        </w:rPr>
        <w:t xml:space="preserve">the </w:t>
      </w:r>
      <w:r w:rsidR="001C1B3F" w:rsidRPr="00955AC1">
        <w:rPr>
          <w:rFonts w:ascii="Times New Roman" w:hAnsi="Times New Roman" w:cs="Times New Roman"/>
        </w:rPr>
        <w:t>Paragraph section</w:t>
      </w:r>
      <w:r w:rsidR="00B82A7F" w:rsidRPr="00955AC1">
        <w:rPr>
          <w:rFonts w:ascii="Times New Roman" w:hAnsi="Times New Roman" w:cs="Times New Roman"/>
        </w:rPr>
        <w:t>)</w:t>
      </w:r>
      <w:r w:rsidRPr="00955AC1">
        <w:rPr>
          <w:rFonts w:ascii="Times New Roman" w:hAnsi="Times New Roman" w:cs="Times New Roman"/>
        </w:rPr>
        <w:t xml:space="preserve">. </w:t>
      </w:r>
    </w:p>
    <w:p w14:paraId="578628CE" w14:textId="00FB6021" w:rsidR="00A4436B" w:rsidRPr="00955AC1" w:rsidRDefault="00A4436B" w:rsidP="00785F6D">
      <w:pPr>
        <w:rPr>
          <w:rFonts w:ascii="Times New Roman" w:hAnsi="Times New Roman" w:cs="Times New Roman"/>
        </w:rPr>
      </w:pPr>
      <w:r w:rsidRPr="00955AC1">
        <w:rPr>
          <w:rFonts w:ascii="Times New Roman" w:hAnsi="Times New Roman" w:cs="Times New Roman"/>
        </w:rPr>
        <w:t>In the window that pops up, select the following:</w:t>
      </w:r>
    </w:p>
    <w:p w14:paraId="6F90EB88" w14:textId="61707B93" w:rsidR="00CC5812"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Pr="00955AC1">
        <w:rPr>
          <w:rFonts w:ascii="Times New Roman" w:hAnsi="Times New Roman" w:cs="Times New Roman"/>
          <w:b/>
          <w:bCs/>
        </w:rPr>
        <w:t>Date</w:t>
      </w:r>
      <w:r w:rsidRPr="00955AC1">
        <w:rPr>
          <w:rFonts w:ascii="Times New Roman" w:hAnsi="Times New Roman" w:cs="Times New Roman"/>
        </w:rPr>
        <w:t xml:space="preserve"> </w:t>
      </w:r>
      <w:r w:rsidR="00F13F1A" w:rsidRPr="00955AC1">
        <w:rPr>
          <w:rFonts w:ascii="Times New Roman" w:hAnsi="Times New Roman" w:cs="Times New Roman"/>
          <w:b/>
          <w:bCs/>
        </w:rPr>
        <w:t>Posted</w:t>
      </w:r>
      <w:r w:rsidR="00F13F1A" w:rsidRPr="00955AC1">
        <w:rPr>
          <w:rFonts w:ascii="Times New Roman" w:hAnsi="Times New Roman" w:cs="Times New Roman"/>
        </w:rPr>
        <w:t xml:space="preserve"> column </w:t>
      </w:r>
      <w:r w:rsidRPr="00955AC1">
        <w:rPr>
          <w:rFonts w:ascii="Times New Roman" w:hAnsi="Times New Roman" w:cs="Times New Roman"/>
        </w:rPr>
        <w:t>should be sorted by “Type: Date”</w:t>
      </w:r>
    </w:p>
    <w:p w14:paraId="20EC5B97" w14:textId="43A84189" w:rsidR="0015268E" w:rsidRPr="00955AC1" w:rsidRDefault="0015268E" w:rsidP="006F437F">
      <w:pPr>
        <w:pStyle w:val="ListParagraph"/>
        <w:numPr>
          <w:ilvl w:val="0"/>
          <w:numId w:val="5"/>
        </w:numPr>
        <w:rPr>
          <w:rFonts w:ascii="Times New Roman" w:hAnsi="Times New Roman" w:cs="Times New Roman"/>
        </w:rPr>
      </w:pPr>
      <w:r w:rsidRPr="00955AC1">
        <w:rPr>
          <w:rFonts w:ascii="Times New Roman" w:hAnsi="Times New Roman" w:cs="Times New Roman"/>
        </w:rPr>
        <w:t xml:space="preserve">The </w:t>
      </w:r>
      <w:r w:rsidR="00F13F1A" w:rsidRPr="00955AC1">
        <w:rPr>
          <w:rFonts w:ascii="Times New Roman" w:hAnsi="Times New Roman" w:cs="Times New Roman"/>
          <w:b/>
          <w:bCs/>
        </w:rPr>
        <w:t>Category</w:t>
      </w:r>
      <w:r w:rsidR="00F13F1A" w:rsidRPr="00955AC1">
        <w:rPr>
          <w:rFonts w:ascii="Times New Roman" w:hAnsi="Times New Roman" w:cs="Times New Roman"/>
        </w:rPr>
        <w:t xml:space="preserve"> </w:t>
      </w:r>
      <w:r w:rsidR="00E45BA3" w:rsidRPr="00955AC1">
        <w:rPr>
          <w:rFonts w:ascii="Times New Roman" w:hAnsi="Times New Roman" w:cs="Times New Roman"/>
        </w:rPr>
        <w:t>column should be sorted by “Type: Number”</w:t>
      </w:r>
    </w:p>
    <w:p w14:paraId="29F1DB44" w14:textId="078E0062" w:rsidR="00C80CAC" w:rsidRPr="00955AC1" w:rsidRDefault="00BC6305" w:rsidP="00785F6D">
      <w:pPr>
        <w:rPr>
          <w:rFonts w:ascii="Times New Roman" w:hAnsi="Times New Roman" w:cs="Times New Roman"/>
        </w:rPr>
      </w:pPr>
      <w:r w:rsidRPr="00955AC1">
        <w:rPr>
          <w:rFonts w:ascii="Times New Roman" w:hAnsi="Times New Roman" w:cs="Times New Roman"/>
        </w:rPr>
        <w:t xml:space="preserve">Question categories are assigned a number </w:t>
      </w:r>
      <w:r w:rsidR="00C07BB7" w:rsidRPr="00955AC1">
        <w:rPr>
          <w:rFonts w:ascii="Times New Roman" w:hAnsi="Times New Roman" w:cs="Times New Roman"/>
        </w:rPr>
        <w:t xml:space="preserve">for purposes of </w:t>
      </w:r>
      <w:r w:rsidR="005B23E3" w:rsidRPr="00955AC1">
        <w:rPr>
          <w:rFonts w:ascii="Times New Roman" w:hAnsi="Times New Roman" w:cs="Times New Roman"/>
        </w:rPr>
        <w:t xml:space="preserve">table sorting. </w:t>
      </w:r>
      <w:r w:rsidR="005F0863" w:rsidRPr="00955AC1">
        <w:rPr>
          <w:rFonts w:ascii="Times New Roman" w:hAnsi="Times New Roman" w:cs="Times New Roman"/>
        </w:rPr>
        <w:t xml:space="preserve">Below are the category </w:t>
      </w:r>
      <w:r w:rsidR="00C563EB" w:rsidRPr="00955AC1">
        <w:rPr>
          <w:rFonts w:ascii="Times New Roman" w:hAnsi="Times New Roman" w:cs="Times New Roman"/>
        </w:rPr>
        <w:t xml:space="preserve">breakdowns in the Q&amp;A table: </w:t>
      </w:r>
    </w:p>
    <w:p w14:paraId="3E75901A" w14:textId="146C4CD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1</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Core Plan</w:t>
      </w:r>
    </w:p>
    <w:p w14:paraId="3F260B77" w14:textId="5241616D"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2</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Threshold</w:t>
      </w:r>
    </w:p>
    <w:p w14:paraId="31929BCA" w14:textId="04D17D46"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3</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Scoring</w:t>
      </w:r>
    </w:p>
    <w:p w14:paraId="2AD395B0" w14:textId="6A3B6B35" w:rsidR="00C80CAC" w:rsidRPr="00955AC1" w:rsidRDefault="00C80CAC" w:rsidP="006F437F">
      <w:pPr>
        <w:pStyle w:val="ListParagraph"/>
        <w:numPr>
          <w:ilvl w:val="0"/>
          <w:numId w:val="2"/>
        </w:numPr>
        <w:rPr>
          <w:rFonts w:ascii="Times New Roman" w:hAnsi="Times New Roman" w:cs="Times New Roman"/>
        </w:rPr>
      </w:pPr>
      <w:r w:rsidRPr="00955AC1">
        <w:rPr>
          <w:rFonts w:ascii="Times New Roman" w:hAnsi="Times New Roman" w:cs="Times New Roman"/>
        </w:rPr>
        <w:t>4</w:t>
      </w:r>
      <w:r w:rsidR="00223423" w:rsidRPr="00955AC1">
        <w:rPr>
          <w:rFonts w:ascii="Times New Roman" w:hAnsi="Times New Roman" w:cs="Times New Roman"/>
        </w:rPr>
        <w:t xml:space="preserve"> </w:t>
      </w:r>
      <w:r w:rsidRPr="00955AC1">
        <w:rPr>
          <w:rFonts w:ascii="Times New Roman" w:hAnsi="Times New Roman" w:cs="Times New Roman"/>
        </w:rPr>
        <w:t>-</w:t>
      </w:r>
      <w:r w:rsidR="00223423" w:rsidRPr="00955AC1">
        <w:rPr>
          <w:rFonts w:ascii="Times New Roman" w:hAnsi="Times New Roman" w:cs="Times New Roman"/>
        </w:rPr>
        <w:t xml:space="preserve"> </w:t>
      </w:r>
      <w:r w:rsidRPr="00955AC1">
        <w:rPr>
          <w:rFonts w:ascii="Times New Roman" w:hAnsi="Times New Roman" w:cs="Times New Roman"/>
        </w:rPr>
        <w:t>Compliance Appendix</w:t>
      </w:r>
    </w:p>
    <w:p w14:paraId="146DFBAF" w14:textId="26C78983" w:rsidR="00201415"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t>5</w:t>
      </w:r>
      <w:r w:rsidR="00223423" w:rsidRPr="00955AC1">
        <w:rPr>
          <w:rFonts w:ascii="Times New Roman" w:hAnsi="Times New Roman" w:cs="Times New Roman"/>
        </w:rPr>
        <w:t xml:space="preserve"> </w:t>
      </w:r>
      <w:r w:rsidR="00110808" w:rsidRPr="00955AC1">
        <w:rPr>
          <w:rFonts w:ascii="Times New Roman" w:hAnsi="Times New Roman" w:cs="Times New Roman"/>
        </w:rPr>
        <w:t>-</w:t>
      </w:r>
      <w:r w:rsidR="00223423" w:rsidRPr="00955AC1">
        <w:rPr>
          <w:rFonts w:ascii="Times New Roman" w:hAnsi="Times New Roman" w:cs="Times New Roman"/>
        </w:rPr>
        <w:t xml:space="preserve"> </w:t>
      </w:r>
      <w:proofErr w:type="spellStart"/>
      <w:r w:rsidR="00C72428" w:rsidRPr="00955AC1">
        <w:rPr>
          <w:rFonts w:ascii="Times New Roman" w:hAnsi="Times New Roman" w:cs="Times New Roman"/>
        </w:rPr>
        <w:t>Emphasys</w:t>
      </w:r>
      <w:proofErr w:type="spellEnd"/>
      <w:r w:rsidR="00C72428" w:rsidRPr="00955AC1">
        <w:rPr>
          <w:rFonts w:ascii="Times New Roman" w:hAnsi="Times New Roman" w:cs="Times New Roman"/>
        </w:rPr>
        <w:t xml:space="preserve"> </w:t>
      </w:r>
      <w:r w:rsidR="00A056E8" w:rsidRPr="00955AC1">
        <w:rPr>
          <w:rFonts w:ascii="Times New Roman" w:hAnsi="Times New Roman" w:cs="Times New Roman"/>
        </w:rPr>
        <w:t xml:space="preserve">Application Portal </w:t>
      </w:r>
    </w:p>
    <w:p w14:paraId="1F1797E7" w14:textId="0E7B2762" w:rsidR="00CA06E8" w:rsidRPr="00955AC1" w:rsidRDefault="00E0233D" w:rsidP="006F437F">
      <w:pPr>
        <w:pStyle w:val="ListParagraph"/>
        <w:numPr>
          <w:ilvl w:val="0"/>
          <w:numId w:val="2"/>
        </w:numPr>
        <w:rPr>
          <w:rFonts w:ascii="Times New Roman" w:hAnsi="Times New Roman" w:cs="Times New Roman"/>
        </w:rPr>
      </w:pPr>
      <w:r w:rsidRPr="00955AC1">
        <w:rPr>
          <w:rFonts w:ascii="Times New Roman" w:hAnsi="Times New Roman" w:cs="Times New Roman"/>
        </w:rPr>
        <w:t>6</w:t>
      </w:r>
      <w:r w:rsidR="00223423" w:rsidRPr="00955AC1">
        <w:rPr>
          <w:rFonts w:ascii="Times New Roman" w:hAnsi="Times New Roman" w:cs="Times New Roman"/>
        </w:rPr>
        <w:t xml:space="preserve"> </w:t>
      </w:r>
      <w:r w:rsidR="00A44A2A" w:rsidRPr="00955AC1">
        <w:rPr>
          <w:rFonts w:ascii="Times New Roman" w:hAnsi="Times New Roman" w:cs="Times New Roman"/>
        </w:rPr>
        <w:t>-</w:t>
      </w:r>
      <w:r w:rsidR="00223423" w:rsidRPr="00955AC1">
        <w:rPr>
          <w:rFonts w:ascii="Times New Roman" w:hAnsi="Times New Roman" w:cs="Times New Roman"/>
        </w:rPr>
        <w:t xml:space="preserve"> </w:t>
      </w:r>
      <w:r w:rsidR="00EE19FE" w:rsidRPr="00955AC1">
        <w:rPr>
          <w:rFonts w:ascii="Times New Roman" w:hAnsi="Times New Roman" w:cs="Times New Roman"/>
        </w:rPr>
        <w:t xml:space="preserve">4%/Bonds Round </w:t>
      </w:r>
      <w:r w:rsidR="00395C5D" w:rsidRPr="00955AC1">
        <w:rPr>
          <w:rFonts w:ascii="Times New Roman" w:hAnsi="Times New Roman" w:cs="Times New Roman"/>
        </w:rPr>
        <w:t xml:space="preserve">Application </w:t>
      </w:r>
      <w:r w:rsidR="003E467A" w:rsidRPr="00955AC1">
        <w:rPr>
          <w:rFonts w:ascii="Times New Roman" w:hAnsi="Times New Roman" w:cs="Times New Roman"/>
        </w:rPr>
        <w:t xml:space="preserve">Requirements and Procedures </w:t>
      </w:r>
      <w:r w:rsidR="003124AD" w:rsidRPr="00955AC1">
        <w:rPr>
          <w:rFonts w:ascii="Times New Roman" w:hAnsi="Times New Roman" w:cs="Times New Roman"/>
        </w:rPr>
        <w:t xml:space="preserve"> </w:t>
      </w:r>
    </w:p>
    <w:p w14:paraId="4D63FE65" w14:textId="09B9A7F0" w:rsidR="00E023E6" w:rsidRPr="00955AC1" w:rsidRDefault="006D4EE6" w:rsidP="006F437F">
      <w:pPr>
        <w:pStyle w:val="ListParagraph"/>
        <w:numPr>
          <w:ilvl w:val="0"/>
          <w:numId w:val="2"/>
        </w:numPr>
        <w:rPr>
          <w:rFonts w:ascii="Times New Roman" w:hAnsi="Times New Roman" w:cs="Times New Roman"/>
        </w:rPr>
      </w:pPr>
      <w:r w:rsidRPr="00955AC1">
        <w:rPr>
          <w:rFonts w:ascii="Times New Roman" w:hAnsi="Times New Roman" w:cs="Times New Roman"/>
        </w:rPr>
        <w:t>7</w:t>
      </w:r>
      <w:r w:rsidR="00EE6685" w:rsidRPr="00955AC1">
        <w:rPr>
          <w:rFonts w:ascii="Times New Roman" w:hAnsi="Times New Roman" w:cs="Times New Roman"/>
        </w:rPr>
        <w:t xml:space="preserve"> </w:t>
      </w:r>
      <w:r w:rsidR="00C80CAC" w:rsidRPr="00955AC1">
        <w:rPr>
          <w:rFonts w:ascii="Times New Roman" w:hAnsi="Times New Roman" w:cs="Times New Roman"/>
        </w:rPr>
        <w:t>-</w:t>
      </w:r>
      <w:r w:rsidR="00EE6685" w:rsidRPr="00955AC1">
        <w:rPr>
          <w:rFonts w:ascii="Times New Roman" w:hAnsi="Times New Roman" w:cs="Times New Roman"/>
        </w:rPr>
        <w:t xml:space="preserve"> </w:t>
      </w:r>
      <w:r w:rsidR="00C80CAC" w:rsidRPr="00955AC1">
        <w:rPr>
          <w:rFonts w:ascii="Times New Roman" w:hAnsi="Times New Roman" w:cs="Times New Roman"/>
        </w:rPr>
        <w:t xml:space="preserve">Other </w:t>
      </w:r>
    </w:p>
    <w:p w14:paraId="036C49B6" w14:textId="77777777" w:rsidR="00B6442F" w:rsidRPr="00955AC1" w:rsidRDefault="005D7CF0" w:rsidP="00C965C9">
      <w:pPr>
        <w:rPr>
          <w:rFonts w:ascii="Times New Roman" w:hAnsi="Times New Roman" w:cs="Times New Roman"/>
        </w:rPr>
      </w:pPr>
      <w:r w:rsidRPr="00955AC1">
        <w:rPr>
          <w:rFonts w:ascii="Times New Roman" w:hAnsi="Times New Roman" w:cs="Times New Roman"/>
        </w:rPr>
        <w:t xml:space="preserve">Category numbers take the </w:t>
      </w:r>
      <w:r w:rsidR="00B6442F" w:rsidRPr="00955AC1">
        <w:rPr>
          <w:rFonts w:ascii="Times New Roman" w:hAnsi="Times New Roman" w:cs="Times New Roman"/>
        </w:rPr>
        <w:t xml:space="preserve">following </w:t>
      </w:r>
      <w:r w:rsidRPr="00955AC1">
        <w:rPr>
          <w:rFonts w:ascii="Times New Roman" w:hAnsi="Times New Roman" w:cs="Times New Roman"/>
        </w:rPr>
        <w:t>form</w:t>
      </w:r>
      <w:r w:rsidR="00B6442F" w:rsidRPr="00955AC1">
        <w:rPr>
          <w:rFonts w:ascii="Times New Roman" w:hAnsi="Times New Roman" w:cs="Times New Roman"/>
        </w:rPr>
        <w:t>:</w:t>
      </w:r>
      <w:r w:rsidRPr="00955AC1">
        <w:rPr>
          <w:rFonts w:ascii="Times New Roman" w:hAnsi="Times New Roman" w:cs="Times New Roman"/>
        </w:rPr>
        <w:t xml:space="preserve"> </w:t>
      </w:r>
    </w:p>
    <w:p w14:paraId="7A53DB4B" w14:textId="698B7CC6" w:rsidR="00B6442F" w:rsidRPr="00955AC1" w:rsidRDefault="005D7CF0" w:rsidP="00F95A96">
      <w:pPr>
        <w:jc w:val="center"/>
        <w:rPr>
          <w:rFonts w:ascii="Times New Roman" w:hAnsi="Times New Roman" w:cs="Times New Roman"/>
        </w:rPr>
      </w:pPr>
      <w:r w:rsidRPr="00955AC1">
        <w:rPr>
          <w:rFonts w:ascii="Times New Roman" w:hAnsi="Times New Roman" w:cs="Times New Roman"/>
          <w:i/>
          <w:iCs/>
        </w:rPr>
        <w:t xml:space="preserve">[Category number] </w:t>
      </w:r>
      <w:r w:rsidRPr="00955AC1">
        <w:rPr>
          <w:rFonts w:ascii="Times New Roman" w:hAnsi="Times New Roman" w:cs="Times New Roman"/>
          <w:b/>
          <w:bCs/>
          <w:i/>
          <w:iCs/>
        </w:rPr>
        <w:t>.</w:t>
      </w:r>
      <w:r w:rsidRPr="00955AC1">
        <w:rPr>
          <w:rFonts w:ascii="Times New Roman" w:hAnsi="Times New Roman" w:cs="Times New Roman"/>
          <w:i/>
          <w:iCs/>
        </w:rPr>
        <w:t xml:space="preserve"> [subsection #]</w:t>
      </w:r>
    </w:p>
    <w:p w14:paraId="5E0DCD06" w14:textId="0C9F9CDF" w:rsidR="00C965C9" w:rsidRPr="00955AC1" w:rsidRDefault="001B2E62" w:rsidP="00C965C9">
      <w:pPr>
        <w:rPr>
          <w:rFonts w:ascii="Times New Roman" w:hAnsi="Times New Roman" w:cs="Times New Roman"/>
        </w:rPr>
      </w:pPr>
      <w:r w:rsidRPr="00955AC1">
        <w:rPr>
          <w:rFonts w:ascii="Times New Roman" w:hAnsi="Times New Roman" w:cs="Times New Roman"/>
        </w:rPr>
        <w:t>For example,</w:t>
      </w:r>
      <w:r w:rsidR="00860482" w:rsidRPr="00955AC1">
        <w:rPr>
          <w:rFonts w:ascii="Times New Roman" w:hAnsi="Times New Roman" w:cs="Times New Roman"/>
        </w:rPr>
        <w:t xml:space="preserve"> the 6</w:t>
      </w:r>
      <w:r w:rsidR="00860482" w:rsidRPr="00955AC1">
        <w:rPr>
          <w:rFonts w:ascii="Times New Roman" w:hAnsi="Times New Roman" w:cs="Times New Roman"/>
          <w:vertAlign w:val="superscript"/>
        </w:rPr>
        <w:t>th</w:t>
      </w:r>
      <w:r w:rsidR="00860482" w:rsidRPr="00955AC1">
        <w:rPr>
          <w:rFonts w:ascii="Times New Roman" w:hAnsi="Times New Roman" w:cs="Times New Roman"/>
        </w:rPr>
        <w:t xml:space="preserve"> section of</w:t>
      </w:r>
      <w:r w:rsidRPr="00955AC1">
        <w:rPr>
          <w:rFonts w:ascii="Times New Roman" w:hAnsi="Times New Roman" w:cs="Times New Roman"/>
        </w:rPr>
        <w:t xml:space="preserve"> </w:t>
      </w:r>
      <w:r w:rsidR="005A388A" w:rsidRPr="00955AC1">
        <w:rPr>
          <w:rFonts w:ascii="Times New Roman" w:hAnsi="Times New Roman" w:cs="Times New Roman"/>
          <w:i/>
          <w:iCs/>
        </w:rPr>
        <w:t>Core Plan</w:t>
      </w:r>
      <w:r w:rsidR="002B1FA3" w:rsidRPr="00955AC1">
        <w:rPr>
          <w:rFonts w:ascii="Times New Roman" w:hAnsi="Times New Roman" w:cs="Times New Roman"/>
          <w:i/>
          <w:iCs/>
        </w:rPr>
        <w:t xml:space="preserve"> </w:t>
      </w:r>
      <w:r w:rsidR="002B1FA3" w:rsidRPr="00955AC1">
        <w:rPr>
          <w:rFonts w:ascii="Times New Roman" w:hAnsi="Times New Roman" w:cs="Times New Roman"/>
        </w:rPr>
        <w:t>is</w:t>
      </w:r>
      <w:r w:rsidR="005A388A" w:rsidRPr="00955AC1">
        <w:rPr>
          <w:rFonts w:ascii="Times New Roman" w:hAnsi="Times New Roman" w:cs="Times New Roman"/>
          <w:i/>
          <w:iCs/>
        </w:rPr>
        <w:t xml:space="preserve"> </w:t>
      </w:r>
      <w:r w:rsidR="006E06E2" w:rsidRPr="00955AC1">
        <w:rPr>
          <w:rFonts w:ascii="Times New Roman" w:hAnsi="Times New Roman" w:cs="Times New Roman"/>
          <w:i/>
          <w:iCs/>
        </w:rPr>
        <w:t>9% Round Set Asides</w:t>
      </w:r>
      <w:r w:rsidR="002B1FA3" w:rsidRPr="00955AC1">
        <w:rPr>
          <w:rFonts w:ascii="Times New Roman" w:hAnsi="Times New Roman" w:cs="Times New Roman"/>
        </w:rPr>
        <w:t xml:space="preserve">. This section </w:t>
      </w:r>
      <w:r w:rsidR="006E06E2" w:rsidRPr="00955AC1">
        <w:rPr>
          <w:rFonts w:ascii="Times New Roman" w:hAnsi="Times New Roman" w:cs="Times New Roman"/>
        </w:rPr>
        <w:t xml:space="preserve">is </w:t>
      </w:r>
      <w:r w:rsidR="0085392D" w:rsidRPr="00955AC1">
        <w:rPr>
          <w:rFonts w:ascii="Times New Roman" w:hAnsi="Times New Roman" w:cs="Times New Roman"/>
        </w:rPr>
        <w:t xml:space="preserve">numbered as </w:t>
      </w:r>
      <w:r w:rsidR="005B4BDE" w:rsidRPr="00955AC1">
        <w:rPr>
          <w:rFonts w:ascii="Times New Roman" w:hAnsi="Times New Roman" w:cs="Times New Roman"/>
        </w:rPr>
        <w:t>“</w:t>
      </w:r>
      <w:r w:rsidR="0085392D" w:rsidRPr="00955AC1">
        <w:rPr>
          <w:rFonts w:ascii="Times New Roman" w:hAnsi="Times New Roman" w:cs="Times New Roman"/>
        </w:rPr>
        <w:t>1.</w:t>
      </w:r>
      <w:r w:rsidR="00C15AF0" w:rsidRPr="00955AC1">
        <w:rPr>
          <w:rFonts w:ascii="Times New Roman" w:hAnsi="Times New Roman" w:cs="Times New Roman"/>
        </w:rPr>
        <w:t>0</w:t>
      </w:r>
      <w:r w:rsidR="00001721" w:rsidRPr="00955AC1">
        <w:rPr>
          <w:rFonts w:ascii="Times New Roman" w:hAnsi="Times New Roman" w:cs="Times New Roman"/>
        </w:rPr>
        <w:t>6</w:t>
      </w:r>
      <w:r w:rsidR="005B4BDE" w:rsidRPr="00955AC1">
        <w:rPr>
          <w:rFonts w:ascii="Times New Roman" w:hAnsi="Times New Roman" w:cs="Times New Roman"/>
        </w:rPr>
        <w:t>”</w:t>
      </w:r>
      <w:r w:rsidR="00CF519E" w:rsidRPr="00955AC1">
        <w:rPr>
          <w:rFonts w:ascii="Times New Roman" w:hAnsi="Times New Roman" w:cs="Times New Roman"/>
        </w:rPr>
        <w:t xml:space="preserve"> </w:t>
      </w:r>
      <w:r w:rsidR="001E676A" w:rsidRPr="00955AC1">
        <w:rPr>
          <w:rFonts w:ascii="Times New Roman" w:hAnsi="Times New Roman" w:cs="Times New Roman"/>
        </w:rPr>
        <w:t xml:space="preserve">in the Q&amp;A table. </w:t>
      </w:r>
      <w:r w:rsidR="004A15F2" w:rsidRPr="00955AC1">
        <w:rPr>
          <w:rFonts w:ascii="Times New Roman" w:hAnsi="Times New Roman" w:cs="Times New Roman"/>
        </w:rPr>
        <w:br/>
      </w:r>
    </w:p>
    <w:p w14:paraId="74E0315E" w14:textId="6C93D75F" w:rsidR="00176327" w:rsidRPr="00955AC1" w:rsidRDefault="00CF0051" w:rsidP="00CC2BB6">
      <w:pPr>
        <w:pStyle w:val="Heading2"/>
        <w:rPr>
          <w:rFonts w:cs="Times New Roman"/>
        </w:rPr>
      </w:pPr>
      <w:r w:rsidRPr="00955AC1">
        <w:rPr>
          <w:rFonts w:cs="Times New Roman"/>
        </w:rPr>
        <w:t xml:space="preserve">Log of </w:t>
      </w:r>
      <w:r w:rsidR="001E0ADE" w:rsidRPr="00955AC1">
        <w:rPr>
          <w:rFonts w:cs="Times New Roman"/>
        </w:rPr>
        <w:t>Updates</w:t>
      </w:r>
      <w:r w:rsidR="00845192" w:rsidRPr="00955AC1">
        <w:rPr>
          <w:rFonts w:cs="Times New Roman"/>
        </w:rPr>
        <w:t xml:space="preserve"> to this Q&amp;A Document</w:t>
      </w:r>
    </w:p>
    <w:p w14:paraId="3E3AEE31" w14:textId="263ABEE5" w:rsidR="00292828" w:rsidRPr="00955AC1" w:rsidRDefault="00D77ADA" w:rsidP="00176327">
      <w:pPr>
        <w:rPr>
          <w:rFonts w:ascii="Times New Roman" w:hAnsi="Times New Roman" w:cs="Times New Roman"/>
        </w:rPr>
      </w:pPr>
      <w:r w:rsidRPr="00955AC1">
        <w:rPr>
          <w:rFonts w:ascii="Times New Roman" w:hAnsi="Times New Roman" w:cs="Times New Roman"/>
        </w:rPr>
        <w:t xml:space="preserve">This section </w:t>
      </w:r>
      <w:r w:rsidR="00D84E39" w:rsidRPr="00955AC1">
        <w:rPr>
          <w:rFonts w:ascii="Times New Roman" w:hAnsi="Times New Roman" w:cs="Times New Roman"/>
        </w:rPr>
        <w:t xml:space="preserve">provides a high-level description of </w:t>
      </w:r>
      <w:r w:rsidR="005306AE" w:rsidRPr="00955AC1">
        <w:rPr>
          <w:rFonts w:ascii="Times New Roman" w:hAnsi="Times New Roman" w:cs="Times New Roman"/>
        </w:rPr>
        <w:t>changes</w:t>
      </w:r>
      <w:r w:rsidR="004A29D5" w:rsidRPr="00955AC1">
        <w:rPr>
          <w:rFonts w:ascii="Times New Roman" w:hAnsi="Times New Roman" w:cs="Times New Roman"/>
        </w:rPr>
        <w:t xml:space="preserve"> made to the document from one version to the next.</w:t>
      </w:r>
    </w:p>
    <w:tbl>
      <w:tblPr>
        <w:tblStyle w:val="TableGrid"/>
        <w:tblW w:w="0" w:type="auto"/>
        <w:jc w:val="center"/>
        <w:tblLook w:val="04A0" w:firstRow="1" w:lastRow="0" w:firstColumn="1" w:lastColumn="0" w:noHBand="0" w:noVBand="1"/>
      </w:tblPr>
      <w:tblGrid>
        <w:gridCol w:w="1165"/>
        <w:gridCol w:w="8010"/>
      </w:tblGrid>
      <w:tr w:rsidR="00735BD9" w:rsidRPr="00955AC1" w14:paraId="291196A8" w14:textId="77777777" w:rsidTr="69621A9A">
        <w:trPr>
          <w:jc w:val="center"/>
        </w:trPr>
        <w:tc>
          <w:tcPr>
            <w:tcW w:w="1165" w:type="dxa"/>
            <w:shd w:val="clear" w:color="auto" w:fill="D9D9D9" w:themeFill="background1" w:themeFillShade="D9"/>
            <w:tcMar>
              <w:top w:w="72" w:type="dxa"/>
              <w:left w:w="115" w:type="dxa"/>
              <w:bottom w:w="72" w:type="dxa"/>
              <w:right w:w="115" w:type="dxa"/>
            </w:tcMar>
            <w:vAlign w:val="center"/>
          </w:tcPr>
          <w:p w14:paraId="2C115D17"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Update</w:t>
            </w:r>
          </w:p>
        </w:tc>
        <w:tc>
          <w:tcPr>
            <w:tcW w:w="8010" w:type="dxa"/>
            <w:shd w:val="clear" w:color="auto" w:fill="D9D9D9" w:themeFill="background1" w:themeFillShade="D9"/>
            <w:tcMar>
              <w:top w:w="72" w:type="dxa"/>
              <w:left w:w="115" w:type="dxa"/>
              <w:bottom w:w="72" w:type="dxa"/>
              <w:right w:w="115" w:type="dxa"/>
            </w:tcMar>
            <w:vAlign w:val="center"/>
          </w:tcPr>
          <w:p w14:paraId="312D11D3" w14:textId="77777777" w:rsidR="00735BD9" w:rsidRPr="00955AC1" w:rsidRDefault="00735BD9" w:rsidP="00820378">
            <w:pPr>
              <w:keepNext/>
              <w:jc w:val="center"/>
              <w:rPr>
                <w:rFonts w:ascii="Times New Roman" w:hAnsi="Times New Roman" w:cs="Times New Roman"/>
                <w:b/>
                <w:bCs/>
              </w:rPr>
            </w:pPr>
            <w:r w:rsidRPr="00955AC1">
              <w:rPr>
                <w:rFonts w:ascii="Times New Roman" w:hAnsi="Times New Roman" w:cs="Times New Roman"/>
                <w:b/>
                <w:bCs/>
              </w:rPr>
              <w:t>Changes</w:t>
            </w:r>
          </w:p>
        </w:tc>
      </w:tr>
      <w:tr w:rsidR="005F6151" w:rsidRPr="00955AC1" w14:paraId="3589E33D" w14:textId="77777777" w:rsidTr="64301FE8">
        <w:trPr>
          <w:jc w:val="center"/>
        </w:trPr>
        <w:tc>
          <w:tcPr>
            <w:tcW w:w="1165" w:type="dxa"/>
            <w:tcMar>
              <w:top w:w="72" w:type="dxa"/>
              <w:left w:w="115" w:type="dxa"/>
              <w:bottom w:w="72" w:type="dxa"/>
              <w:right w:w="115" w:type="dxa"/>
            </w:tcMar>
            <w:vAlign w:val="center"/>
          </w:tcPr>
          <w:p w14:paraId="6CD4EF97" w14:textId="40079C4F" w:rsidR="005F6151" w:rsidRDefault="005F6151" w:rsidP="64301FE8">
            <w:pPr>
              <w:rPr>
                <w:rFonts w:ascii="Times New Roman" w:hAnsi="Times New Roman" w:cs="Times New Roman"/>
              </w:rPr>
            </w:pPr>
            <w:r>
              <w:rPr>
                <w:rFonts w:ascii="Times New Roman" w:hAnsi="Times New Roman" w:cs="Times New Roman"/>
              </w:rPr>
              <w:t>10/11/22</w:t>
            </w:r>
          </w:p>
        </w:tc>
        <w:tc>
          <w:tcPr>
            <w:tcW w:w="8010" w:type="dxa"/>
            <w:tcMar>
              <w:top w:w="72" w:type="dxa"/>
              <w:left w:w="115" w:type="dxa"/>
              <w:bottom w:w="72" w:type="dxa"/>
              <w:right w:w="115" w:type="dxa"/>
            </w:tcMar>
            <w:vAlign w:val="center"/>
          </w:tcPr>
          <w:p w14:paraId="3FF85962" w14:textId="4030F771" w:rsidR="005F6151" w:rsidRDefault="005F615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7424E0" w:rsidRPr="00955AC1" w14:paraId="4E709FB2" w14:textId="77777777" w:rsidTr="64301FE8">
        <w:trPr>
          <w:jc w:val="center"/>
        </w:trPr>
        <w:tc>
          <w:tcPr>
            <w:tcW w:w="1165" w:type="dxa"/>
            <w:tcMar>
              <w:top w:w="72" w:type="dxa"/>
              <w:left w:w="115" w:type="dxa"/>
              <w:bottom w:w="72" w:type="dxa"/>
              <w:right w:w="115" w:type="dxa"/>
            </w:tcMar>
            <w:vAlign w:val="center"/>
          </w:tcPr>
          <w:p w14:paraId="0DF12DF1" w14:textId="44A33254" w:rsidR="007424E0" w:rsidRDefault="007424E0" w:rsidP="64301FE8">
            <w:pPr>
              <w:rPr>
                <w:rFonts w:ascii="Times New Roman" w:hAnsi="Times New Roman" w:cs="Times New Roman"/>
              </w:rPr>
            </w:pPr>
            <w:r>
              <w:rPr>
                <w:rFonts w:ascii="Times New Roman" w:hAnsi="Times New Roman" w:cs="Times New Roman"/>
              </w:rPr>
              <w:t>9/29/22</w:t>
            </w:r>
          </w:p>
        </w:tc>
        <w:tc>
          <w:tcPr>
            <w:tcW w:w="8010" w:type="dxa"/>
            <w:tcMar>
              <w:top w:w="72" w:type="dxa"/>
              <w:left w:w="115" w:type="dxa"/>
              <w:bottom w:w="72" w:type="dxa"/>
              <w:right w:w="115" w:type="dxa"/>
            </w:tcMar>
            <w:vAlign w:val="center"/>
          </w:tcPr>
          <w:p w14:paraId="787C2A53" w14:textId="26CC7858" w:rsidR="007424E0" w:rsidRDefault="007424E0"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00955AC1" w:rsidRPr="00955AC1" w14:paraId="67589B53" w14:textId="77777777" w:rsidTr="64301FE8">
        <w:trPr>
          <w:jc w:val="center"/>
        </w:trPr>
        <w:tc>
          <w:tcPr>
            <w:tcW w:w="1165" w:type="dxa"/>
            <w:tcMar>
              <w:top w:w="72" w:type="dxa"/>
              <w:left w:w="115" w:type="dxa"/>
              <w:bottom w:w="72" w:type="dxa"/>
              <w:right w:w="115" w:type="dxa"/>
            </w:tcMar>
            <w:vAlign w:val="center"/>
          </w:tcPr>
          <w:p w14:paraId="6CF986BF" w14:textId="17FBB4B3" w:rsidR="00955AC1" w:rsidRPr="00955AC1" w:rsidRDefault="00955AC1" w:rsidP="64301FE8">
            <w:pPr>
              <w:rPr>
                <w:rFonts w:ascii="Times New Roman" w:hAnsi="Times New Roman" w:cs="Times New Roman"/>
              </w:rPr>
            </w:pPr>
            <w:r>
              <w:rPr>
                <w:rFonts w:ascii="Times New Roman" w:hAnsi="Times New Roman" w:cs="Times New Roman"/>
              </w:rPr>
              <w:t>9/27/22</w:t>
            </w:r>
          </w:p>
        </w:tc>
        <w:tc>
          <w:tcPr>
            <w:tcW w:w="8010" w:type="dxa"/>
            <w:tcMar>
              <w:top w:w="72" w:type="dxa"/>
              <w:left w:w="115" w:type="dxa"/>
              <w:bottom w:w="72" w:type="dxa"/>
              <w:right w:w="115" w:type="dxa"/>
            </w:tcMar>
            <w:vAlign w:val="center"/>
          </w:tcPr>
          <w:p w14:paraId="3BB34486" w14:textId="31514878" w:rsidR="00955AC1" w:rsidRPr="00955AC1" w:rsidRDefault="00955AC1" w:rsidP="64301FE8">
            <w:pPr>
              <w:pStyle w:val="ListParagraph"/>
              <w:numPr>
                <w:ilvl w:val="0"/>
                <w:numId w:val="65"/>
              </w:numPr>
              <w:rPr>
                <w:rFonts w:ascii="Times New Roman" w:hAnsi="Times New Roman" w:cs="Times New Roman"/>
              </w:rPr>
            </w:pPr>
            <w:r>
              <w:rPr>
                <w:rFonts w:ascii="Times New Roman" w:hAnsi="Times New Roman" w:cs="Times New Roman"/>
              </w:rPr>
              <w:t>New Q&amp;A set posted</w:t>
            </w:r>
          </w:p>
        </w:tc>
      </w:tr>
      <w:tr w:rsidR="64301FE8" w:rsidRPr="00955AC1" w14:paraId="30C72478" w14:textId="77777777" w:rsidTr="64301FE8">
        <w:trPr>
          <w:jc w:val="center"/>
        </w:trPr>
        <w:tc>
          <w:tcPr>
            <w:tcW w:w="1165" w:type="dxa"/>
            <w:tcMar>
              <w:top w:w="72" w:type="dxa"/>
              <w:left w:w="115" w:type="dxa"/>
              <w:bottom w:w="72" w:type="dxa"/>
              <w:right w:w="115" w:type="dxa"/>
            </w:tcMar>
            <w:vAlign w:val="center"/>
          </w:tcPr>
          <w:p w14:paraId="02F24BB7" w14:textId="7D763E5B" w:rsidR="16F503ED" w:rsidRPr="00955AC1" w:rsidRDefault="16F503ED" w:rsidP="64301FE8">
            <w:pPr>
              <w:rPr>
                <w:rFonts w:ascii="Times New Roman" w:hAnsi="Times New Roman" w:cs="Times New Roman"/>
              </w:rPr>
            </w:pPr>
            <w:r w:rsidRPr="00955AC1">
              <w:rPr>
                <w:rFonts w:ascii="Times New Roman" w:hAnsi="Times New Roman" w:cs="Times New Roman"/>
              </w:rPr>
              <w:t>9/22/22</w:t>
            </w:r>
          </w:p>
        </w:tc>
        <w:tc>
          <w:tcPr>
            <w:tcW w:w="8010" w:type="dxa"/>
            <w:tcMar>
              <w:top w:w="72" w:type="dxa"/>
              <w:left w:w="115" w:type="dxa"/>
              <w:bottom w:w="72" w:type="dxa"/>
              <w:right w:w="115" w:type="dxa"/>
            </w:tcMar>
            <w:vAlign w:val="center"/>
          </w:tcPr>
          <w:p w14:paraId="40966945" w14:textId="5C85BA73" w:rsidR="16F503ED" w:rsidRPr="00955AC1" w:rsidRDefault="16F503ED" w:rsidP="64301FE8">
            <w:pPr>
              <w:pStyle w:val="ListParagraph"/>
              <w:numPr>
                <w:ilvl w:val="0"/>
                <w:numId w:val="65"/>
              </w:numPr>
              <w:rPr>
                <w:rFonts w:eastAsiaTheme="minorEastAsia"/>
              </w:rPr>
            </w:pPr>
            <w:r w:rsidRPr="00955AC1">
              <w:rPr>
                <w:rFonts w:ascii="Times New Roman" w:hAnsi="Times New Roman" w:cs="Times New Roman"/>
              </w:rPr>
              <w:t>New Q&amp;A set posted</w:t>
            </w:r>
          </w:p>
        </w:tc>
      </w:tr>
      <w:tr w:rsidR="00BB1933" w:rsidRPr="00955AC1" w14:paraId="554E93C2" w14:textId="77777777" w:rsidTr="69621A9A">
        <w:trPr>
          <w:jc w:val="center"/>
        </w:trPr>
        <w:tc>
          <w:tcPr>
            <w:tcW w:w="1165" w:type="dxa"/>
            <w:tcMar>
              <w:top w:w="72" w:type="dxa"/>
              <w:left w:w="115" w:type="dxa"/>
              <w:bottom w:w="72" w:type="dxa"/>
              <w:right w:w="115" w:type="dxa"/>
            </w:tcMar>
            <w:vAlign w:val="center"/>
          </w:tcPr>
          <w:p w14:paraId="7F4FF8B0" w14:textId="47703888" w:rsidR="00BB1933" w:rsidRPr="00955AC1" w:rsidRDefault="00BB1933" w:rsidP="69621A9A">
            <w:pPr>
              <w:rPr>
                <w:rFonts w:ascii="Times New Roman" w:hAnsi="Times New Roman" w:cs="Times New Roman"/>
              </w:rPr>
            </w:pPr>
            <w:r w:rsidRPr="00955AC1">
              <w:rPr>
                <w:rFonts w:ascii="Times New Roman" w:hAnsi="Times New Roman" w:cs="Times New Roman"/>
              </w:rPr>
              <w:t>9/15/22</w:t>
            </w:r>
          </w:p>
        </w:tc>
        <w:tc>
          <w:tcPr>
            <w:tcW w:w="8010" w:type="dxa"/>
            <w:tcMar>
              <w:top w:w="72" w:type="dxa"/>
              <w:left w:w="115" w:type="dxa"/>
              <w:bottom w:w="72" w:type="dxa"/>
              <w:right w:w="115" w:type="dxa"/>
            </w:tcMar>
            <w:vAlign w:val="center"/>
          </w:tcPr>
          <w:p w14:paraId="3A0462C9" w14:textId="0590EA8F" w:rsidR="00BB1933" w:rsidRPr="00955AC1" w:rsidRDefault="00BB1933"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New Q&amp;A set posted </w:t>
            </w:r>
          </w:p>
        </w:tc>
      </w:tr>
      <w:tr w:rsidR="0021779A" w:rsidRPr="00955AC1" w14:paraId="462F135A" w14:textId="77777777" w:rsidTr="69621A9A">
        <w:trPr>
          <w:jc w:val="center"/>
        </w:trPr>
        <w:tc>
          <w:tcPr>
            <w:tcW w:w="1165" w:type="dxa"/>
            <w:tcMar>
              <w:top w:w="72" w:type="dxa"/>
              <w:left w:w="115" w:type="dxa"/>
              <w:bottom w:w="72" w:type="dxa"/>
              <w:right w:w="115" w:type="dxa"/>
            </w:tcMar>
            <w:vAlign w:val="center"/>
          </w:tcPr>
          <w:p w14:paraId="0FA51827" w14:textId="0E937357" w:rsidR="0021779A" w:rsidRPr="00955AC1" w:rsidRDefault="0021779A" w:rsidP="69621A9A">
            <w:pPr>
              <w:rPr>
                <w:rFonts w:ascii="Times New Roman" w:hAnsi="Times New Roman" w:cs="Times New Roman"/>
              </w:rPr>
            </w:pPr>
            <w:r w:rsidRPr="00955AC1">
              <w:rPr>
                <w:rFonts w:ascii="Times New Roman" w:hAnsi="Times New Roman" w:cs="Times New Roman"/>
              </w:rPr>
              <w:t>9/13/22</w:t>
            </w:r>
          </w:p>
        </w:tc>
        <w:tc>
          <w:tcPr>
            <w:tcW w:w="8010" w:type="dxa"/>
            <w:tcMar>
              <w:top w:w="72" w:type="dxa"/>
              <w:left w:w="115" w:type="dxa"/>
              <w:bottom w:w="72" w:type="dxa"/>
              <w:right w:w="115" w:type="dxa"/>
            </w:tcMar>
            <w:vAlign w:val="center"/>
          </w:tcPr>
          <w:p w14:paraId="4B9C4C7C" w14:textId="7E3B551A" w:rsidR="0021779A" w:rsidRPr="00955AC1" w:rsidRDefault="0021779A" w:rsidP="001C6EBF">
            <w:pPr>
              <w:pStyle w:val="ListParagraph"/>
              <w:numPr>
                <w:ilvl w:val="0"/>
                <w:numId w:val="1"/>
              </w:numPr>
              <w:rPr>
                <w:rFonts w:ascii="Times New Roman" w:hAnsi="Times New Roman" w:cs="Times New Roman"/>
              </w:rPr>
            </w:pPr>
            <w:r w:rsidRPr="00955AC1">
              <w:rPr>
                <w:rFonts w:ascii="Times New Roman" w:hAnsi="Times New Roman" w:cs="Times New Roman"/>
              </w:rPr>
              <w:t>New Q&amp;A set posted</w:t>
            </w:r>
          </w:p>
        </w:tc>
      </w:tr>
      <w:tr w:rsidR="00766CD3" w:rsidRPr="00955AC1" w14:paraId="24B7FEB1" w14:textId="77777777" w:rsidTr="69621A9A">
        <w:trPr>
          <w:jc w:val="center"/>
        </w:trPr>
        <w:tc>
          <w:tcPr>
            <w:tcW w:w="1165" w:type="dxa"/>
            <w:tcMar>
              <w:top w:w="72" w:type="dxa"/>
              <w:left w:w="115" w:type="dxa"/>
              <w:bottom w:w="72" w:type="dxa"/>
              <w:right w:w="115" w:type="dxa"/>
            </w:tcMar>
            <w:vAlign w:val="center"/>
          </w:tcPr>
          <w:p w14:paraId="43D2DFC8" w14:textId="6735FA77" w:rsidR="00766CD3" w:rsidRPr="00955AC1" w:rsidRDefault="00766CD3" w:rsidP="69621A9A">
            <w:pPr>
              <w:rPr>
                <w:rFonts w:ascii="Times New Roman" w:hAnsi="Times New Roman" w:cs="Times New Roman"/>
              </w:rPr>
            </w:pPr>
            <w:r w:rsidRPr="00955AC1">
              <w:rPr>
                <w:rFonts w:ascii="Times New Roman" w:hAnsi="Times New Roman" w:cs="Times New Roman"/>
              </w:rPr>
              <w:t>9/7/22</w:t>
            </w:r>
          </w:p>
        </w:tc>
        <w:tc>
          <w:tcPr>
            <w:tcW w:w="8010" w:type="dxa"/>
            <w:tcMar>
              <w:top w:w="72" w:type="dxa"/>
              <w:left w:w="115" w:type="dxa"/>
              <w:bottom w:w="72" w:type="dxa"/>
              <w:right w:w="115" w:type="dxa"/>
            </w:tcMar>
            <w:vAlign w:val="center"/>
          </w:tcPr>
          <w:p w14:paraId="5AB9EE65" w14:textId="53042A9A" w:rsidR="00974330" w:rsidRPr="00955AC1" w:rsidRDefault="00974330" w:rsidP="001C6EBF">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16BEC" w:rsidRPr="00955AC1">
              <w:rPr>
                <w:rFonts w:ascii="Times New Roman" w:hAnsi="Times New Roman" w:cs="Times New Roman"/>
                <w:b/>
                <w:bCs/>
              </w:rPr>
              <w:t>Part I. Overview</w:t>
            </w:r>
            <w:r w:rsidR="00816BEC" w:rsidRPr="00955AC1">
              <w:rPr>
                <w:rFonts w:ascii="Times New Roman" w:hAnsi="Times New Roman" w:cs="Times New Roman"/>
              </w:rPr>
              <w:t xml:space="preserve"> above</w:t>
            </w:r>
            <w:r w:rsidRPr="00955AC1">
              <w:rPr>
                <w:rFonts w:ascii="Times New Roman" w:hAnsi="Times New Roman" w:cs="Times New Roman"/>
              </w:rPr>
              <w:t>:</w:t>
            </w:r>
            <w:r w:rsidR="00816BEC" w:rsidRPr="00955AC1">
              <w:rPr>
                <w:rFonts w:ascii="Times New Roman" w:hAnsi="Times New Roman" w:cs="Times New Roman"/>
              </w:rPr>
              <w:t xml:space="preserve"> </w:t>
            </w:r>
          </w:p>
          <w:p w14:paraId="38B34607" w14:textId="1A8995A0" w:rsidR="003004B1" w:rsidRPr="00955AC1" w:rsidRDefault="00120595"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Added </w:t>
            </w:r>
            <w:r w:rsidR="00E216A4" w:rsidRPr="00955AC1">
              <w:rPr>
                <w:rFonts w:ascii="Times New Roman" w:hAnsi="Times New Roman" w:cs="Times New Roman"/>
              </w:rPr>
              <w:t xml:space="preserve">subsection </w:t>
            </w:r>
            <w:r w:rsidR="00171549" w:rsidRPr="00955AC1">
              <w:rPr>
                <w:rFonts w:ascii="Times New Roman" w:hAnsi="Times New Roman" w:cs="Times New Roman"/>
                <w:b/>
                <w:bCs/>
              </w:rPr>
              <w:t>Note</w:t>
            </w:r>
            <w:r w:rsidR="004977A9" w:rsidRPr="00955AC1">
              <w:rPr>
                <w:rFonts w:ascii="Times New Roman" w:hAnsi="Times New Roman" w:cs="Times New Roman"/>
                <w:b/>
                <w:bCs/>
              </w:rPr>
              <w:t xml:space="preserve"> on</w:t>
            </w:r>
            <w:r w:rsidR="00171549" w:rsidRPr="00955AC1">
              <w:rPr>
                <w:rFonts w:ascii="Times New Roman" w:hAnsi="Times New Roman" w:cs="Times New Roman"/>
                <w:b/>
                <w:bCs/>
              </w:rPr>
              <w:t xml:space="preserve"> Q&amp;A Posted for 2022 9% Round</w:t>
            </w:r>
            <w:r w:rsidR="00171549" w:rsidRPr="00955AC1">
              <w:rPr>
                <w:rFonts w:ascii="Times New Roman" w:hAnsi="Times New Roman" w:cs="Times New Roman"/>
              </w:rPr>
              <w:t xml:space="preserve"> </w:t>
            </w:r>
          </w:p>
          <w:p w14:paraId="4A1E6E75" w14:textId="408D9FDB" w:rsidR="00D143D0" w:rsidRPr="00955AC1" w:rsidRDefault="00A74470"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Category changes under </w:t>
            </w:r>
            <w:r w:rsidR="00D143D0" w:rsidRPr="00955AC1">
              <w:rPr>
                <w:rFonts w:ascii="Times New Roman" w:hAnsi="Times New Roman" w:cs="Times New Roman"/>
              </w:rPr>
              <w:t xml:space="preserve">subsection </w:t>
            </w:r>
            <w:r w:rsidR="00D143D0" w:rsidRPr="00955AC1">
              <w:rPr>
                <w:rFonts w:ascii="Times New Roman" w:hAnsi="Times New Roman" w:cs="Times New Roman"/>
                <w:b/>
                <w:bCs/>
              </w:rPr>
              <w:t>Navigating the Q&amp;A Table</w:t>
            </w:r>
            <w:r w:rsidRPr="00955AC1">
              <w:rPr>
                <w:rFonts w:ascii="Times New Roman" w:hAnsi="Times New Roman" w:cs="Times New Roman"/>
              </w:rPr>
              <w:t>:</w:t>
            </w:r>
            <w:r w:rsidR="000D57AA" w:rsidRPr="00955AC1">
              <w:rPr>
                <w:rFonts w:ascii="Times New Roman" w:hAnsi="Times New Roman" w:cs="Times New Roman"/>
              </w:rPr>
              <w:t xml:space="preserve"> </w:t>
            </w:r>
          </w:p>
          <w:p w14:paraId="6911271E" w14:textId="79297D4A" w:rsidR="00154B02" w:rsidRPr="00955AC1" w:rsidRDefault="00154B02" w:rsidP="00F75B8F">
            <w:pPr>
              <w:pStyle w:val="ListParagraph"/>
              <w:numPr>
                <w:ilvl w:val="2"/>
                <w:numId w:val="1"/>
              </w:numPr>
              <w:rPr>
                <w:rFonts w:ascii="Times New Roman" w:hAnsi="Times New Roman" w:cs="Times New Roman"/>
              </w:rPr>
            </w:pPr>
            <w:r w:rsidRPr="00955AC1">
              <w:rPr>
                <w:rFonts w:ascii="Times New Roman" w:hAnsi="Times New Roman" w:cs="Times New Roman"/>
              </w:rPr>
              <w:t>Added</w:t>
            </w:r>
            <w:r w:rsidR="00D27378" w:rsidRPr="00955AC1">
              <w:rPr>
                <w:rFonts w:ascii="Times New Roman" w:hAnsi="Times New Roman" w:cs="Times New Roman"/>
              </w:rPr>
              <w:t>: “</w:t>
            </w:r>
            <w:r w:rsidR="00315349" w:rsidRPr="00955AC1">
              <w:rPr>
                <w:rFonts w:ascii="Times New Roman" w:hAnsi="Times New Roman" w:cs="Times New Roman"/>
              </w:rPr>
              <w:t>4%/Bonds Round Application Requirements and Procedures</w:t>
            </w:r>
            <w:r w:rsidR="00DE1BF1" w:rsidRPr="00955AC1">
              <w:rPr>
                <w:rFonts w:ascii="Times New Roman" w:hAnsi="Times New Roman" w:cs="Times New Roman"/>
              </w:rPr>
              <w:t>”</w:t>
            </w:r>
          </w:p>
          <w:p w14:paraId="140E6AED" w14:textId="6D390D3F" w:rsidR="00DE1BF1" w:rsidRPr="00955AC1" w:rsidRDefault="004B4380" w:rsidP="009A5E6C">
            <w:pPr>
              <w:pStyle w:val="ListParagraph"/>
              <w:numPr>
                <w:ilvl w:val="2"/>
                <w:numId w:val="1"/>
              </w:numPr>
              <w:rPr>
                <w:rFonts w:ascii="Times New Roman" w:hAnsi="Times New Roman" w:cs="Times New Roman"/>
              </w:rPr>
            </w:pPr>
            <w:r w:rsidRPr="00955AC1">
              <w:rPr>
                <w:rFonts w:ascii="Times New Roman" w:hAnsi="Times New Roman" w:cs="Times New Roman"/>
              </w:rPr>
              <w:t>Deleted</w:t>
            </w:r>
            <w:r w:rsidR="00DE1BF1" w:rsidRPr="00955AC1">
              <w:rPr>
                <w:rFonts w:ascii="Times New Roman" w:hAnsi="Times New Roman" w:cs="Times New Roman"/>
              </w:rPr>
              <w:t>:</w:t>
            </w:r>
            <w:r w:rsidRPr="00955AC1">
              <w:rPr>
                <w:rFonts w:ascii="Times New Roman" w:hAnsi="Times New Roman" w:cs="Times New Roman"/>
              </w:rPr>
              <w:t xml:space="preserve"> “Manuals” </w:t>
            </w:r>
          </w:p>
          <w:p w14:paraId="68531747" w14:textId="206A7853" w:rsidR="00F74AB6" w:rsidRPr="00955AC1" w:rsidRDefault="004C5E35" w:rsidP="00EE089E">
            <w:pPr>
              <w:pStyle w:val="ListParagraph"/>
              <w:numPr>
                <w:ilvl w:val="3"/>
                <w:numId w:val="1"/>
              </w:numPr>
              <w:rPr>
                <w:rFonts w:ascii="Times New Roman" w:hAnsi="Times New Roman" w:cs="Times New Roman"/>
              </w:rPr>
            </w:pPr>
            <w:r w:rsidRPr="00955AC1">
              <w:rPr>
                <w:rFonts w:ascii="Times New Roman" w:hAnsi="Times New Roman" w:cs="Times New Roman"/>
              </w:rPr>
              <w:t xml:space="preserve">This impacted only Q&amp;A: </w:t>
            </w:r>
            <w:r w:rsidRPr="00955AC1">
              <w:rPr>
                <w:rFonts w:ascii="Times New Roman" w:hAnsi="Times New Roman" w:cs="Times New Roman"/>
                <w:b/>
                <w:bCs/>
              </w:rPr>
              <w:t>0725_HFDR-1</w:t>
            </w:r>
          </w:p>
          <w:p w14:paraId="51C1CE91" w14:textId="78582420" w:rsidR="00506960" w:rsidRPr="00955AC1" w:rsidRDefault="00DE1BF1" w:rsidP="00F75B8F">
            <w:pPr>
              <w:pStyle w:val="ListParagraph"/>
              <w:numPr>
                <w:ilvl w:val="3"/>
                <w:numId w:val="1"/>
              </w:numPr>
              <w:rPr>
                <w:rFonts w:ascii="Times New Roman" w:hAnsi="Times New Roman" w:cs="Times New Roman"/>
              </w:rPr>
            </w:pPr>
            <w:r w:rsidRPr="00955AC1">
              <w:rPr>
                <w:rFonts w:ascii="Times New Roman" w:hAnsi="Times New Roman" w:cs="Times New Roman"/>
              </w:rPr>
              <w:t>A</w:t>
            </w:r>
            <w:r w:rsidR="00FC2233" w:rsidRPr="00955AC1">
              <w:rPr>
                <w:rFonts w:ascii="Times New Roman" w:hAnsi="Times New Roman" w:cs="Times New Roman"/>
              </w:rPr>
              <w:t xml:space="preserve">ll </w:t>
            </w:r>
            <w:r w:rsidR="00EF3879" w:rsidRPr="00955AC1">
              <w:rPr>
                <w:rFonts w:ascii="Times New Roman" w:hAnsi="Times New Roman" w:cs="Times New Roman"/>
              </w:rPr>
              <w:t xml:space="preserve">other </w:t>
            </w:r>
            <w:r w:rsidR="0096557B" w:rsidRPr="00955AC1">
              <w:rPr>
                <w:rFonts w:ascii="Times New Roman" w:hAnsi="Times New Roman" w:cs="Times New Roman"/>
              </w:rPr>
              <w:t xml:space="preserve">questions pertaining to manuals </w:t>
            </w:r>
            <w:r w:rsidR="003C339F" w:rsidRPr="00955AC1">
              <w:rPr>
                <w:rFonts w:ascii="Times New Roman" w:hAnsi="Times New Roman" w:cs="Times New Roman"/>
              </w:rPr>
              <w:t xml:space="preserve">have </w:t>
            </w:r>
            <w:r w:rsidR="00355EF4" w:rsidRPr="00955AC1">
              <w:rPr>
                <w:rFonts w:ascii="Times New Roman" w:hAnsi="Times New Roman" w:cs="Times New Roman"/>
              </w:rPr>
              <w:t xml:space="preserve">up to this point </w:t>
            </w:r>
            <w:r w:rsidR="003C339F" w:rsidRPr="00955AC1">
              <w:rPr>
                <w:rFonts w:ascii="Times New Roman" w:hAnsi="Times New Roman" w:cs="Times New Roman"/>
              </w:rPr>
              <w:t xml:space="preserve">been posted </w:t>
            </w:r>
            <w:r w:rsidR="00FC2233" w:rsidRPr="00955AC1">
              <w:rPr>
                <w:rFonts w:ascii="Times New Roman" w:hAnsi="Times New Roman" w:cs="Times New Roman"/>
              </w:rPr>
              <w:t xml:space="preserve">under </w:t>
            </w:r>
            <w:r w:rsidR="00455045" w:rsidRPr="00955AC1">
              <w:rPr>
                <w:rFonts w:ascii="Times New Roman" w:hAnsi="Times New Roman" w:cs="Times New Roman"/>
              </w:rPr>
              <w:t xml:space="preserve">the </w:t>
            </w:r>
            <w:r w:rsidR="003E4150" w:rsidRPr="00955AC1">
              <w:rPr>
                <w:rFonts w:ascii="Times New Roman" w:hAnsi="Times New Roman" w:cs="Times New Roman"/>
              </w:rPr>
              <w:t xml:space="preserve">associated </w:t>
            </w:r>
            <w:r w:rsidR="00FC2233" w:rsidRPr="00955AC1">
              <w:rPr>
                <w:rFonts w:ascii="Times New Roman" w:hAnsi="Times New Roman" w:cs="Times New Roman"/>
              </w:rPr>
              <w:t>QAP section</w:t>
            </w:r>
            <w:r w:rsidR="00B67F3E" w:rsidRPr="00955AC1">
              <w:rPr>
                <w:rFonts w:ascii="Times New Roman" w:hAnsi="Times New Roman" w:cs="Times New Roman"/>
              </w:rPr>
              <w:t xml:space="preserve"> category</w:t>
            </w:r>
            <w:r w:rsidR="00976447" w:rsidRPr="00955AC1">
              <w:rPr>
                <w:rFonts w:ascii="Times New Roman" w:hAnsi="Times New Roman" w:cs="Times New Roman"/>
              </w:rPr>
              <w:t>.</w:t>
            </w:r>
            <w:r w:rsidR="001C719C" w:rsidRPr="00955AC1">
              <w:rPr>
                <w:rFonts w:ascii="Times New Roman" w:hAnsi="Times New Roman" w:cs="Times New Roman"/>
              </w:rPr>
              <w:br/>
            </w:r>
          </w:p>
          <w:p w14:paraId="1F24D845" w14:textId="1785C384" w:rsidR="008D5755" w:rsidRPr="00955AC1" w:rsidRDefault="00EE089E" w:rsidP="69621A9A">
            <w:pPr>
              <w:pStyle w:val="ListParagraph"/>
              <w:numPr>
                <w:ilvl w:val="0"/>
                <w:numId w:val="1"/>
              </w:numPr>
              <w:rPr>
                <w:rFonts w:ascii="Times New Roman" w:hAnsi="Times New Roman" w:cs="Times New Roman"/>
              </w:rPr>
            </w:pPr>
            <w:r w:rsidRPr="00955AC1">
              <w:rPr>
                <w:rFonts w:ascii="Times New Roman" w:hAnsi="Times New Roman" w:cs="Times New Roman"/>
              </w:rPr>
              <w:t xml:space="preserve">Changes to </w:t>
            </w:r>
            <w:r w:rsidR="008D5755" w:rsidRPr="00955AC1">
              <w:rPr>
                <w:rFonts w:ascii="Times New Roman" w:hAnsi="Times New Roman" w:cs="Times New Roman"/>
                <w:b/>
                <w:bCs/>
              </w:rPr>
              <w:t>Part II: Question and Answer Table</w:t>
            </w:r>
            <w:r w:rsidR="00CB63D6" w:rsidRPr="00955AC1">
              <w:rPr>
                <w:rFonts w:ascii="Times New Roman" w:hAnsi="Times New Roman" w:cs="Times New Roman"/>
                <w:b/>
                <w:bCs/>
              </w:rPr>
              <w:t xml:space="preserve"> </w:t>
            </w:r>
            <w:r w:rsidR="00CB63D6" w:rsidRPr="00955AC1">
              <w:rPr>
                <w:rFonts w:ascii="Times New Roman" w:hAnsi="Times New Roman" w:cs="Times New Roman"/>
              </w:rPr>
              <w:t>below:</w:t>
            </w:r>
            <w:r w:rsidR="008D5755" w:rsidRPr="00955AC1">
              <w:rPr>
                <w:rFonts w:ascii="Times New Roman" w:hAnsi="Times New Roman" w:cs="Times New Roman"/>
              </w:rPr>
              <w:t xml:space="preserve"> </w:t>
            </w:r>
          </w:p>
          <w:p w14:paraId="4C0D7CD4" w14:textId="3F66B7D4" w:rsidR="00CB63D6" w:rsidRPr="00955AC1" w:rsidRDefault="005177AC" w:rsidP="00EE6235">
            <w:pPr>
              <w:pStyle w:val="ListParagraph"/>
              <w:numPr>
                <w:ilvl w:val="1"/>
                <w:numId w:val="1"/>
              </w:numPr>
              <w:rPr>
                <w:rFonts w:ascii="Times New Roman" w:hAnsi="Times New Roman" w:cs="Times New Roman"/>
              </w:rPr>
            </w:pPr>
            <w:r w:rsidRPr="00955AC1">
              <w:rPr>
                <w:rFonts w:ascii="Times New Roman" w:hAnsi="Times New Roman" w:cs="Times New Roman"/>
              </w:rPr>
              <w:t>New Q&amp;A set posted</w:t>
            </w:r>
          </w:p>
          <w:p w14:paraId="44027487" w14:textId="77777777" w:rsidR="00487624" w:rsidRPr="00955AC1" w:rsidRDefault="00627E36" w:rsidP="00EE6235">
            <w:pPr>
              <w:pStyle w:val="ListParagraph"/>
              <w:numPr>
                <w:ilvl w:val="1"/>
                <w:numId w:val="1"/>
              </w:numPr>
              <w:rPr>
                <w:rFonts w:ascii="Times New Roman" w:hAnsi="Times New Roman" w:cs="Times New Roman"/>
              </w:rPr>
            </w:pPr>
            <w:r w:rsidRPr="00955AC1">
              <w:rPr>
                <w:rFonts w:ascii="Times New Roman" w:hAnsi="Times New Roman" w:cs="Times New Roman"/>
              </w:rPr>
              <w:t xml:space="preserve">Removed </w:t>
            </w:r>
            <w:r w:rsidR="00487624" w:rsidRPr="00955AC1">
              <w:rPr>
                <w:rFonts w:ascii="Times New Roman" w:hAnsi="Times New Roman" w:cs="Times New Roman"/>
              </w:rPr>
              <w:t>the following Q&amp;A postings:</w:t>
            </w:r>
          </w:p>
          <w:p w14:paraId="51B235D5" w14:textId="2326A1E0" w:rsidR="00627E36" w:rsidRPr="00955AC1" w:rsidRDefault="00627E36" w:rsidP="00487624">
            <w:pPr>
              <w:pStyle w:val="ListParagraph"/>
              <w:numPr>
                <w:ilvl w:val="2"/>
                <w:numId w:val="1"/>
              </w:numPr>
              <w:rPr>
                <w:rFonts w:ascii="Times New Roman" w:hAnsi="Times New Roman" w:cs="Times New Roman"/>
              </w:rPr>
            </w:pPr>
            <w:r w:rsidRPr="00955AC1">
              <w:rPr>
                <w:rFonts w:ascii="Times New Roman" w:hAnsi="Times New Roman" w:cs="Times New Roman"/>
              </w:rPr>
              <w:t xml:space="preserve">Q&amp;As </w:t>
            </w:r>
            <w:r w:rsidR="00BB36FB" w:rsidRPr="00955AC1">
              <w:rPr>
                <w:rFonts w:ascii="Times New Roman" w:hAnsi="Times New Roman" w:cs="Times New Roman"/>
              </w:rPr>
              <w:t xml:space="preserve">only </w:t>
            </w:r>
            <w:r w:rsidRPr="00955AC1">
              <w:rPr>
                <w:rFonts w:ascii="Times New Roman" w:hAnsi="Times New Roman" w:cs="Times New Roman"/>
              </w:rPr>
              <w:t>applicable to the 2022 9% Round</w:t>
            </w:r>
          </w:p>
          <w:p w14:paraId="39E939D0" w14:textId="74437C2E" w:rsidR="00487624" w:rsidRPr="00955AC1" w:rsidRDefault="00487624" w:rsidP="00F75B8F">
            <w:pPr>
              <w:pStyle w:val="ListParagraph"/>
              <w:numPr>
                <w:ilvl w:val="2"/>
                <w:numId w:val="1"/>
              </w:numPr>
              <w:rPr>
                <w:rFonts w:ascii="Times New Roman" w:hAnsi="Times New Roman" w:cs="Times New Roman"/>
              </w:rPr>
            </w:pPr>
            <w:r w:rsidRPr="00955AC1">
              <w:rPr>
                <w:rFonts w:ascii="Times New Roman" w:hAnsi="Times New Roman" w:cs="Times New Roman"/>
              </w:rPr>
              <w:t>Q&amp;As clarifying “Flexible Share” requirements</w:t>
            </w:r>
            <w:r w:rsidR="00957D8E" w:rsidRPr="00955AC1">
              <w:rPr>
                <w:rFonts w:ascii="Times New Roman" w:hAnsi="Times New Roman" w:cs="Times New Roman"/>
              </w:rPr>
              <w:t xml:space="preserve"> </w:t>
            </w:r>
          </w:p>
          <w:p w14:paraId="0BDFD340" w14:textId="1950F420" w:rsidR="00ED0D33" w:rsidRPr="00955AC1" w:rsidRDefault="00F568F7" w:rsidP="00F75B8F">
            <w:pPr>
              <w:pStyle w:val="ListParagraph"/>
              <w:numPr>
                <w:ilvl w:val="1"/>
                <w:numId w:val="1"/>
              </w:numPr>
              <w:rPr>
                <w:rFonts w:ascii="Times New Roman" w:hAnsi="Times New Roman" w:cs="Times New Roman"/>
              </w:rPr>
            </w:pPr>
            <w:r w:rsidRPr="00955AC1">
              <w:rPr>
                <w:rFonts w:ascii="Times New Roman" w:hAnsi="Times New Roman" w:cs="Times New Roman"/>
              </w:rPr>
              <w:t xml:space="preserve">Flagged Q&amp;As that reference the 9% Round </w:t>
            </w:r>
            <w:r w:rsidR="00506DFC" w:rsidRPr="00955AC1">
              <w:rPr>
                <w:rFonts w:ascii="Times New Roman" w:hAnsi="Times New Roman" w:cs="Times New Roman"/>
              </w:rPr>
              <w:t xml:space="preserve">but </w:t>
            </w:r>
            <w:r w:rsidRPr="00955AC1">
              <w:rPr>
                <w:rFonts w:ascii="Times New Roman" w:hAnsi="Times New Roman" w:cs="Times New Roman"/>
              </w:rPr>
              <w:t xml:space="preserve">contain information relevant to 4%/Bonds applications. </w:t>
            </w:r>
          </w:p>
        </w:tc>
      </w:tr>
      <w:tr w:rsidR="69621A9A" w:rsidRPr="00955AC1" w14:paraId="2C4B8E35" w14:textId="77777777" w:rsidTr="69621A9A">
        <w:trPr>
          <w:jc w:val="center"/>
        </w:trPr>
        <w:tc>
          <w:tcPr>
            <w:tcW w:w="1165" w:type="dxa"/>
            <w:tcMar>
              <w:top w:w="72" w:type="dxa"/>
              <w:left w:w="115" w:type="dxa"/>
              <w:bottom w:w="72" w:type="dxa"/>
              <w:right w:w="115" w:type="dxa"/>
            </w:tcMar>
            <w:vAlign w:val="center"/>
          </w:tcPr>
          <w:p w14:paraId="7AF76D1A" w14:textId="69E2066E" w:rsidR="7EC83113" w:rsidRPr="00955AC1" w:rsidRDefault="7EC83113" w:rsidP="69621A9A">
            <w:pPr>
              <w:rPr>
                <w:rFonts w:ascii="Times New Roman" w:hAnsi="Times New Roman" w:cs="Times New Roman"/>
              </w:rPr>
            </w:pPr>
            <w:r w:rsidRPr="00955AC1">
              <w:rPr>
                <w:rFonts w:ascii="Times New Roman" w:hAnsi="Times New Roman" w:cs="Times New Roman"/>
              </w:rPr>
              <w:t>8/31/22</w:t>
            </w:r>
          </w:p>
        </w:tc>
        <w:tc>
          <w:tcPr>
            <w:tcW w:w="8010" w:type="dxa"/>
            <w:tcMar>
              <w:top w:w="72" w:type="dxa"/>
              <w:left w:w="115" w:type="dxa"/>
              <w:bottom w:w="72" w:type="dxa"/>
              <w:right w:w="115" w:type="dxa"/>
            </w:tcMar>
            <w:vAlign w:val="center"/>
          </w:tcPr>
          <w:p w14:paraId="24932564" w14:textId="55D2E7A4" w:rsidR="7EC83113" w:rsidRPr="00955AC1" w:rsidRDefault="7EC83113" w:rsidP="69621A9A">
            <w:pPr>
              <w:pStyle w:val="ListParagraph"/>
              <w:numPr>
                <w:ilvl w:val="0"/>
                <w:numId w:val="1"/>
              </w:numPr>
              <w:rPr>
                <w:rFonts w:eastAsiaTheme="minorEastAsia"/>
              </w:rPr>
            </w:pPr>
            <w:r w:rsidRPr="00955AC1">
              <w:rPr>
                <w:rFonts w:ascii="Times New Roman" w:hAnsi="Times New Roman" w:cs="Times New Roman"/>
              </w:rPr>
              <w:t>New Q&amp;A set posted</w:t>
            </w:r>
          </w:p>
        </w:tc>
      </w:tr>
      <w:tr w:rsidR="028CE5D1" w:rsidRPr="00955AC1" w14:paraId="3394DB53" w14:textId="77777777" w:rsidTr="69621A9A">
        <w:trPr>
          <w:jc w:val="center"/>
        </w:trPr>
        <w:tc>
          <w:tcPr>
            <w:tcW w:w="1165" w:type="dxa"/>
            <w:tcMar>
              <w:top w:w="72" w:type="dxa"/>
              <w:left w:w="115" w:type="dxa"/>
              <w:bottom w:w="72" w:type="dxa"/>
              <w:right w:w="115" w:type="dxa"/>
            </w:tcMar>
            <w:vAlign w:val="center"/>
          </w:tcPr>
          <w:p w14:paraId="031DC86F" w14:textId="448F95DE" w:rsidR="028CE5D1" w:rsidRPr="00955AC1" w:rsidRDefault="028CE5D1" w:rsidP="028CE5D1">
            <w:pPr>
              <w:rPr>
                <w:rFonts w:ascii="Times New Roman" w:hAnsi="Times New Roman" w:cs="Times New Roman"/>
              </w:rPr>
            </w:pPr>
            <w:r w:rsidRPr="00955AC1">
              <w:rPr>
                <w:rFonts w:ascii="Times New Roman" w:hAnsi="Times New Roman" w:cs="Times New Roman"/>
              </w:rPr>
              <w:t>8/5/22</w:t>
            </w:r>
          </w:p>
        </w:tc>
        <w:tc>
          <w:tcPr>
            <w:tcW w:w="8010" w:type="dxa"/>
            <w:tcMar>
              <w:top w:w="72" w:type="dxa"/>
              <w:left w:w="115" w:type="dxa"/>
              <w:bottom w:w="72" w:type="dxa"/>
              <w:right w:w="115" w:type="dxa"/>
            </w:tcMar>
            <w:vAlign w:val="center"/>
          </w:tcPr>
          <w:p w14:paraId="38B2AAB5" w14:textId="622FF6CF" w:rsidR="028CE5D1" w:rsidRPr="00955AC1" w:rsidRDefault="028CE5D1" w:rsidP="006F437F">
            <w:pPr>
              <w:pStyle w:val="ListParagraph"/>
              <w:numPr>
                <w:ilvl w:val="0"/>
                <w:numId w:val="57"/>
              </w:numPr>
              <w:rPr>
                <w:rFonts w:eastAsiaTheme="minorEastAsia"/>
              </w:rPr>
            </w:pPr>
            <w:r w:rsidRPr="00955AC1">
              <w:rPr>
                <w:rFonts w:ascii="Times New Roman" w:hAnsi="Times New Roman" w:cs="Times New Roman"/>
              </w:rPr>
              <w:t xml:space="preserve">New Q&amp;A set posted </w:t>
            </w:r>
          </w:p>
        </w:tc>
      </w:tr>
      <w:tr w:rsidR="00735BD9" w:rsidRPr="00955AC1" w14:paraId="5FAB8981" w14:textId="77777777" w:rsidTr="69621A9A">
        <w:trPr>
          <w:jc w:val="center"/>
        </w:trPr>
        <w:tc>
          <w:tcPr>
            <w:tcW w:w="1165" w:type="dxa"/>
            <w:tcMar>
              <w:top w:w="72" w:type="dxa"/>
              <w:left w:w="115" w:type="dxa"/>
              <w:bottom w:w="72" w:type="dxa"/>
              <w:right w:w="115" w:type="dxa"/>
            </w:tcMar>
            <w:vAlign w:val="center"/>
          </w:tcPr>
          <w:p w14:paraId="22CD7E0E" w14:textId="77777777" w:rsidR="00735BD9" w:rsidRPr="00955AC1" w:rsidRDefault="00735BD9" w:rsidP="1995616E">
            <w:pPr>
              <w:rPr>
                <w:rFonts w:ascii="Times New Roman" w:hAnsi="Times New Roman" w:cs="Times New Roman"/>
              </w:rPr>
            </w:pPr>
            <w:r w:rsidRPr="00955AC1">
              <w:rPr>
                <w:rFonts w:ascii="Times New Roman" w:hAnsi="Times New Roman" w:cs="Times New Roman"/>
              </w:rPr>
              <w:t>7/27/22</w:t>
            </w:r>
          </w:p>
        </w:tc>
        <w:tc>
          <w:tcPr>
            <w:tcW w:w="8010" w:type="dxa"/>
            <w:tcMar>
              <w:top w:w="72" w:type="dxa"/>
              <w:left w:w="115" w:type="dxa"/>
              <w:bottom w:w="72" w:type="dxa"/>
              <w:right w:w="115" w:type="dxa"/>
            </w:tcMar>
            <w:vAlign w:val="center"/>
          </w:tcPr>
          <w:p w14:paraId="2BF2B29F" w14:textId="41893189" w:rsidR="00754644"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Updated</w:t>
            </w:r>
            <w:r w:rsidRPr="00955AC1">
              <w:rPr>
                <w:rFonts w:ascii="Times New Roman" w:hAnsi="Times New Roman" w:cs="Times New Roman"/>
                <w:b/>
                <w:bCs/>
              </w:rPr>
              <w:t xml:space="preserve"> </w:t>
            </w:r>
            <w:r w:rsidR="00754644" w:rsidRPr="00955AC1">
              <w:rPr>
                <w:rFonts w:ascii="Times New Roman" w:hAnsi="Times New Roman" w:cs="Times New Roman"/>
                <w:b/>
                <w:bCs/>
              </w:rPr>
              <w:t>Part I. Overview</w:t>
            </w:r>
            <w:r w:rsidRPr="00955AC1">
              <w:rPr>
                <w:rFonts w:ascii="Times New Roman" w:hAnsi="Times New Roman" w:cs="Times New Roman"/>
                <w:b/>
                <w:bCs/>
              </w:rPr>
              <w:t xml:space="preserve">, </w:t>
            </w:r>
            <w:r w:rsidRPr="00955AC1">
              <w:rPr>
                <w:rFonts w:ascii="Times New Roman" w:hAnsi="Times New Roman" w:cs="Times New Roman"/>
              </w:rPr>
              <w:t>subsection</w:t>
            </w:r>
            <w:r w:rsidRPr="00955AC1">
              <w:rPr>
                <w:rFonts w:ascii="Times New Roman" w:hAnsi="Times New Roman" w:cs="Times New Roman"/>
                <w:b/>
                <w:bCs/>
              </w:rPr>
              <w:t xml:space="preserve"> Deadline to Submit Questions for 4%/Bonds Competitive Round</w:t>
            </w:r>
            <w:r w:rsidR="00754644" w:rsidRPr="00955AC1">
              <w:rPr>
                <w:rFonts w:ascii="Times New Roman" w:hAnsi="Times New Roman" w:cs="Times New Roman"/>
              </w:rPr>
              <w:t>:</w:t>
            </w:r>
          </w:p>
          <w:p w14:paraId="14FD9C45" w14:textId="05D87C2E" w:rsidR="00754644" w:rsidRPr="00955AC1" w:rsidRDefault="005D7E95" w:rsidP="006F437F">
            <w:pPr>
              <w:pStyle w:val="ListParagraph"/>
              <w:numPr>
                <w:ilvl w:val="1"/>
                <w:numId w:val="4"/>
              </w:numPr>
              <w:rPr>
                <w:rFonts w:ascii="Times New Roman" w:hAnsi="Times New Roman" w:cs="Times New Roman"/>
              </w:rPr>
            </w:pPr>
            <w:r w:rsidRPr="00955AC1">
              <w:rPr>
                <w:rFonts w:ascii="Times New Roman" w:hAnsi="Times New Roman" w:cs="Times New Roman"/>
              </w:rPr>
              <w:t xml:space="preserve">Posted 4%/Bonds Competitive Round Q&amp;A </w:t>
            </w:r>
            <w:r w:rsidR="00157F34" w:rsidRPr="00955AC1">
              <w:rPr>
                <w:rFonts w:ascii="Times New Roman" w:hAnsi="Times New Roman" w:cs="Times New Roman"/>
              </w:rPr>
              <w:t xml:space="preserve">submission </w:t>
            </w:r>
            <w:r w:rsidRPr="00955AC1">
              <w:rPr>
                <w:rFonts w:ascii="Times New Roman" w:hAnsi="Times New Roman" w:cs="Times New Roman"/>
              </w:rPr>
              <w:t>deadline</w:t>
            </w:r>
            <w:r w:rsidR="009D2635" w:rsidRPr="00955AC1">
              <w:rPr>
                <w:rFonts w:ascii="Times New Roman" w:hAnsi="Times New Roman" w:cs="Times New Roman"/>
              </w:rPr>
              <w:br/>
            </w:r>
            <w:r w:rsidRPr="00955AC1">
              <w:rPr>
                <w:rFonts w:ascii="Times New Roman" w:hAnsi="Times New Roman" w:cs="Times New Roman"/>
              </w:rPr>
              <w:t xml:space="preserve"> </w:t>
            </w:r>
          </w:p>
          <w:p w14:paraId="24B4BB60" w14:textId="77777777" w:rsidR="00682D4F" w:rsidRPr="00955AC1" w:rsidRDefault="00682D4F"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 Overview</w:t>
            </w:r>
            <w:r w:rsidRPr="00955AC1">
              <w:rPr>
                <w:rFonts w:ascii="Times New Roman" w:hAnsi="Times New Roman" w:cs="Times New Roman"/>
              </w:rPr>
              <w:t xml:space="preserve">, subsection </w:t>
            </w:r>
            <w:r w:rsidRPr="00955AC1">
              <w:rPr>
                <w:rFonts w:ascii="Times New Roman" w:hAnsi="Times New Roman" w:cs="Times New Roman"/>
                <w:b/>
                <w:bCs/>
              </w:rPr>
              <w:t>Navigating the Q&amp;A Table</w:t>
            </w:r>
            <w:r w:rsidRPr="00955AC1">
              <w:rPr>
                <w:rFonts w:ascii="Times New Roman" w:hAnsi="Times New Roman" w:cs="Times New Roman"/>
              </w:rPr>
              <w:t xml:space="preserve">: </w:t>
            </w:r>
          </w:p>
          <w:p w14:paraId="4788ED88" w14:textId="5D2094FA" w:rsidR="00190F1D" w:rsidRPr="00955AC1" w:rsidRDefault="00735BD9" w:rsidP="006F437F">
            <w:pPr>
              <w:pStyle w:val="ListParagraph"/>
              <w:numPr>
                <w:ilvl w:val="1"/>
                <w:numId w:val="4"/>
              </w:numPr>
              <w:rPr>
                <w:rFonts w:ascii="Times New Roman" w:hAnsi="Times New Roman" w:cs="Times New Roman"/>
              </w:rPr>
            </w:pPr>
            <w:r w:rsidRPr="00955AC1">
              <w:rPr>
                <w:rFonts w:ascii="Times New Roman" w:hAnsi="Times New Roman" w:cs="Times New Roman"/>
              </w:rPr>
              <w:t>Added</w:t>
            </w:r>
            <w:r w:rsidR="007A5DCC" w:rsidRPr="00955AC1">
              <w:rPr>
                <w:rFonts w:ascii="Times New Roman" w:hAnsi="Times New Roman" w:cs="Times New Roman"/>
              </w:rPr>
              <w:t xml:space="preserve"> category “8</w:t>
            </w:r>
            <w:r w:rsidR="004D5F7A" w:rsidRPr="00955AC1">
              <w:rPr>
                <w:rFonts w:ascii="Times New Roman" w:hAnsi="Times New Roman" w:cs="Times New Roman"/>
              </w:rPr>
              <w:t xml:space="preserve">” </w:t>
            </w:r>
            <w:r w:rsidR="004B6463" w:rsidRPr="00955AC1">
              <w:rPr>
                <w:rFonts w:ascii="Times New Roman" w:hAnsi="Times New Roman" w:cs="Times New Roman"/>
              </w:rPr>
              <w:t xml:space="preserve">for questions about </w:t>
            </w:r>
            <w:r w:rsidR="007A5DCC" w:rsidRPr="00955AC1">
              <w:rPr>
                <w:rFonts w:ascii="Times New Roman" w:hAnsi="Times New Roman" w:cs="Times New Roman"/>
              </w:rPr>
              <w:t xml:space="preserve">4%/Bonds Competitive Round Administration </w:t>
            </w:r>
            <w:r w:rsidR="009D2635" w:rsidRPr="00955AC1">
              <w:rPr>
                <w:rFonts w:ascii="Times New Roman" w:hAnsi="Times New Roman" w:cs="Times New Roman"/>
              </w:rPr>
              <w:br/>
            </w:r>
          </w:p>
          <w:p w14:paraId="69F52E98" w14:textId="77777777" w:rsidR="00110520" w:rsidRPr="00955AC1" w:rsidRDefault="00110520" w:rsidP="006F437F">
            <w:pPr>
              <w:pStyle w:val="ListParagraph"/>
              <w:numPr>
                <w:ilvl w:val="0"/>
                <w:numId w:val="4"/>
              </w:numPr>
              <w:rPr>
                <w:rFonts w:ascii="Times New Roman" w:hAnsi="Times New Roman" w:cs="Times New Roman"/>
              </w:rPr>
            </w:pPr>
            <w:r w:rsidRPr="00955AC1">
              <w:rPr>
                <w:rFonts w:ascii="Times New Roman" w:hAnsi="Times New Roman" w:cs="Times New Roman"/>
              </w:rPr>
              <w:t xml:space="preserve">Updated </w:t>
            </w:r>
            <w:r w:rsidRPr="00955AC1">
              <w:rPr>
                <w:rFonts w:ascii="Times New Roman" w:hAnsi="Times New Roman" w:cs="Times New Roman"/>
                <w:b/>
                <w:bCs/>
              </w:rPr>
              <w:t>Part II: Question and Answer Table</w:t>
            </w:r>
            <w:r w:rsidRPr="00955AC1">
              <w:rPr>
                <w:rFonts w:ascii="Times New Roman" w:hAnsi="Times New Roman" w:cs="Times New Roman"/>
              </w:rPr>
              <w:t>:</w:t>
            </w:r>
          </w:p>
          <w:p w14:paraId="2EA3DEEA" w14:textId="35926876" w:rsidR="003239CC" w:rsidRPr="00955AC1" w:rsidRDefault="00872FD0" w:rsidP="006F437F">
            <w:pPr>
              <w:pStyle w:val="ListParagraph"/>
              <w:numPr>
                <w:ilvl w:val="1"/>
                <w:numId w:val="4"/>
              </w:numPr>
              <w:rPr>
                <w:rFonts w:ascii="Times New Roman" w:hAnsi="Times New Roman" w:cs="Times New Roman"/>
              </w:rPr>
            </w:pPr>
            <w:r w:rsidRPr="00955AC1">
              <w:rPr>
                <w:rFonts w:ascii="Times New Roman" w:hAnsi="Times New Roman" w:cs="Times New Roman"/>
              </w:rPr>
              <w:t>F</w:t>
            </w:r>
            <w:r w:rsidR="003239CC" w:rsidRPr="00955AC1">
              <w:rPr>
                <w:rFonts w:ascii="Times New Roman" w:hAnsi="Times New Roman" w:cs="Times New Roman"/>
              </w:rPr>
              <w:t xml:space="preserve">irst Q&amp;A </w:t>
            </w:r>
            <w:r w:rsidR="00110520" w:rsidRPr="00955AC1">
              <w:rPr>
                <w:rFonts w:ascii="Times New Roman" w:hAnsi="Times New Roman" w:cs="Times New Roman"/>
              </w:rPr>
              <w:t xml:space="preserve">set </w:t>
            </w:r>
            <w:r w:rsidR="003239CC" w:rsidRPr="00955AC1">
              <w:rPr>
                <w:rFonts w:ascii="Times New Roman" w:hAnsi="Times New Roman" w:cs="Times New Roman"/>
              </w:rPr>
              <w:t>posted for purposes of the 4%/Bonds Competitive Round</w:t>
            </w:r>
            <w:r w:rsidR="0022267E" w:rsidRPr="00955AC1">
              <w:rPr>
                <w:rFonts w:ascii="Times New Roman" w:hAnsi="Times New Roman" w:cs="Times New Roman"/>
              </w:rPr>
              <w:t xml:space="preserve">. </w:t>
            </w:r>
          </w:p>
        </w:tc>
      </w:tr>
    </w:tbl>
    <w:p w14:paraId="09C9DF0C" w14:textId="028B2F61" w:rsidR="005873CE" w:rsidRPr="00955AC1" w:rsidRDefault="005873CE">
      <w:pPr>
        <w:rPr>
          <w:rFonts w:ascii="Times New Roman" w:hAnsi="Times New Roman" w:cs="Times New Roman"/>
        </w:rPr>
      </w:pPr>
    </w:p>
    <w:p w14:paraId="576F9EA1" w14:textId="77777777" w:rsidR="00246189" w:rsidRPr="00955AC1" w:rsidRDefault="00246189">
      <w:pPr>
        <w:rPr>
          <w:rFonts w:ascii="Times New Roman" w:eastAsiaTheme="majorEastAsia" w:hAnsi="Times New Roman" w:cs="Times New Roman"/>
          <w:color w:val="2F5496" w:themeColor="accent1" w:themeShade="BF"/>
          <w:sz w:val="32"/>
          <w:szCs w:val="32"/>
        </w:rPr>
      </w:pPr>
      <w:r w:rsidRPr="00955AC1">
        <w:rPr>
          <w:rFonts w:cs="Times New Roman"/>
        </w:rPr>
        <w:br w:type="page"/>
      </w:r>
    </w:p>
    <w:p w14:paraId="6863E81D" w14:textId="08E86B78" w:rsidR="00A75466" w:rsidRPr="00955AC1" w:rsidRDefault="00E54915" w:rsidP="00D477ED">
      <w:pPr>
        <w:pStyle w:val="Heading1"/>
        <w:rPr>
          <w:rFonts w:cs="Times New Roman"/>
        </w:rPr>
      </w:pPr>
      <w:r w:rsidRPr="00955AC1">
        <w:rPr>
          <w:rFonts w:cs="Times New Roman"/>
        </w:rPr>
        <w:t xml:space="preserve">Part II: </w:t>
      </w:r>
      <w:r w:rsidR="00137597" w:rsidRPr="00955AC1">
        <w:rPr>
          <w:rFonts w:cs="Times New Roman"/>
        </w:rPr>
        <w:t>Question and Answer Table</w:t>
      </w:r>
      <w:r w:rsidR="00D477ED" w:rsidRPr="00955AC1">
        <w:rPr>
          <w:rFonts w:cs="Times New Roman"/>
        </w:rPr>
        <w:br/>
      </w:r>
    </w:p>
    <w:tbl>
      <w:tblPr>
        <w:tblStyle w:val="TableGrid"/>
        <w:tblW w:w="13945" w:type="dxa"/>
        <w:jc w:val="center"/>
        <w:tblLook w:val="04A0" w:firstRow="1" w:lastRow="0" w:firstColumn="1" w:lastColumn="0" w:noHBand="0" w:noVBand="1"/>
      </w:tblPr>
      <w:tblGrid>
        <w:gridCol w:w="1697"/>
        <w:gridCol w:w="2663"/>
        <w:gridCol w:w="9585"/>
      </w:tblGrid>
      <w:tr w:rsidR="00B24E0A" w:rsidRPr="007424E0" w14:paraId="024F135B" w14:textId="77777777" w:rsidTr="64301FE8">
        <w:trPr>
          <w:tblHeader/>
          <w:jc w:val="center"/>
        </w:trPr>
        <w:tc>
          <w:tcPr>
            <w:tcW w:w="1697" w:type="dxa"/>
            <w:shd w:val="clear" w:color="auto" w:fill="D9D9D9" w:themeFill="background1" w:themeFillShade="D9"/>
            <w:tcMar>
              <w:top w:w="72" w:type="dxa"/>
              <w:left w:w="115" w:type="dxa"/>
              <w:bottom w:w="72" w:type="dxa"/>
              <w:right w:w="115" w:type="dxa"/>
            </w:tcMar>
            <w:vAlign w:val="center"/>
          </w:tcPr>
          <w:p w14:paraId="31BD2E62" w14:textId="77777777" w:rsidR="00B24E0A" w:rsidRPr="007424E0" w:rsidRDefault="00B24E0A" w:rsidP="00163089">
            <w:pPr>
              <w:jc w:val="center"/>
              <w:rPr>
                <w:rFonts w:ascii="Times New Roman" w:hAnsi="Times New Roman" w:cs="Times New Roman"/>
                <w:b/>
                <w:bCs/>
                <w:noProof/>
              </w:rPr>
            </w:pPr>
            <w:r w:rsidRPr="007424E0">
              <w:rPr>
                <w:rFonts w:ascii="Times New Roman" w:hAnsi="Times New Roman" w:cs="Times New Roman"/>
                <w:b/>
                <w:bCs/>
                <w:noProof/>
              </w:rPr>
              <w:t>Date</w:t>
            </w:r>
          </w:p>
          <w:p w14:paraId="41A922D1" w14:textId="77777777" w:rsidR="00B24E0A" w:rsidRPr="007424E0" w:rsidRDefault="00B24E0A" w:rsidP="00163089">
            <w:pPr>
              <w:jc w:val="center"/>
              <w:rPr>
                <w:rFonts w:ascii="Times New Roman" w:hAnsi="Times New Roman" w:cs="Times New Roman"/>
                <w:b/>
                <w:bCs/>
                <w:noProof/>
              </w:rPr>
            </w:pPr>
            <w:r w:rsidRPr="007424E0">
              <w:rPr>
                <w:rFonts w:ascii="Times New Roman" w:hAnsi="Times New Roman" w:cs="Times New Roman"/>
                <w:b/>
                <w:bCs/>
                <w:noProof/>
              </w:rPr>
              <w:t>Posted</w:t>
            </w:r>
          </w:p>
        </w:tc>
        <w:tc>
          <w:tcPr>
            <w:tcW w:w="2663" w:type="dxa"/>
            <w:shd w:val="clear" w:color="auto" w:fill="D9D9D9" w:themeFill="background1" w:themeFillShade="D9"/>
            <w:tcMar>
              <w:top w:w="72" w:type="dxa"/>
              <w:left w:w="115" w:type="dxa"/>
              <w:bottom w:w="72" w:type="dxa"/>
              <w:right w:w="115" w:type="dxa"/>
            </w:tcMar>
            <w:vAlign w:val="center"/>
          </w:tcPr>
          <w:p w14:paraId="10A99521" w14:textId="77777777" w:rsidR="00B24E0A" w:rsidRPr="007424E0" w:rsidRDefault="00B24E0A" w:rsidP="00163089">
            <w:pPr>
              <w:jc w:val="center"/>
              <w:rPr>
                <w:rFonts w:ascii="Times New Roman" w:hAnsi="Times New Roman" w:cs="Times New Roman"/>
                <w:b/>
                <w:bCs/>
                <w:noProof/>
              </w:rPr>
            </w:pPr>
            <w:r w:rsidRPr="007424E0">
              <w:rPr>
                <w:rFonts w:ascii="Times New Roman" w:hAnsi="Times New Roman" w:cs="Times New Roman"/>
                <w:b/>
                <w:bCs/>
                <w:noProof/>
              </w:rPr>
              <w:t>Category</w:t>
            </w:r>
          </w:p>
        </w:tc>
        <w:tc>
          <w:tcPr>
            <w:tcW w:w="9585" w:type="dxa"/>
            <w:shd w:val="clear" w:color="auto" w:fill="D9D9D9" w:themeFill="background1" w:themeFillShade="D9"/>
            <w:tcMar>
              <w:top w:w="72" w:type="dxa"/>
              <w:left w:w="115" w:type="dxa"/>
              <w:bottom w:w="72" w:type="dxa"/>
              <w:right w:w="115" w:type="dxa"/>
            </w:tcMar>
            <w:vAlign w:val="center"/>
          </w:tcPr>
          <w:p w14:paraId="54CAC75D" w14:textId="77777777" w:rsidR="00B24E0A" w:rsidRPr="007424E0" w:rsidRDefault="00B24E0A" w:rsidP="00163089">
            <w:pPr>
              <w:jc w:val="center"/>
              <w:rPr>
                <w:rFonts w:ascii="Times New Roman" w:hAnsi="Times New Roman" w:cs="Times New Roman"/>
                <w:b/>
                <w:bCs/>
                <w:noProof/>
              </w:rPr>
            </w:pPr>
            <w:r w:rsidRPr="007424E0">
              <w:rPr>
                <w:rFonts w:ascii="Times New Roman" w:hAnsi="Times New Roman" w:cs="Times New Roman"/>
                <w:b/>
                <w:bCs/>
                <w:noProof/>
              </w:rPr>
              <w:t>Question and Answer</w:t>
            </w:r>
          </w:p>
        </w:tc>
      </w:tr>
      <w:tr w:rsidR="00B24E0A" w:rsidRPr="007424E0" w14:paraId="7CC5198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EA631FF" w14:textId="77777777" w:rsidR="00B24E0A" w:rsidRPr="00502544" w:rsidRDefault="00B24E0A"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38D8D65C"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2.07</w:t>
            </w:r>
          </w:p>
          <w:p w14:paraId="71A46647"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 xml:space="preserve">Threshold </w:t>
            </w:r>
            <w:proofErr w:type="gramStart"/>
            <w:r w:rsidRPr="00502544">
              <w:rPr>
                <w:rFonts w:ascii="Times New Roman" w:hAnsi="Times New Roman" w:cs="Times New Roman"/>
                <w:sz w:val="20"/>
                <w:szCs w:val="20"/>
              </w:rPr>
              <w:t>Criteria;</w:t>
            </w:r>
            <w:proofErr w:type="gramEnd"/>
          </w:p>
          <w:p w14:paraId="4AF4B059"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281E183B" w14:textId="77777777" w:rsidR="00B24E0A" w:rsidRPr="00074BA3" w:rsidRDefault="00B24E0A"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b/>
                <w:bCs/>
                <w:sz w:val="20"/>
                <w:szCs w:val="20"/>
              </w:rPr>
              <w:t>Question ID: 1015780063</w:t>
            </w:r>
            <w:r w:rsidRPr="00074BA3">
              <w:rPr>
                <w:rFonts w:ascii="Times New Roman" w:eastAsia="Times New Roman" w:hAnsi="Times New Roman" w:cs="Times New Roman"/>
                <w:sz w:val="20"/>
                <w:szCs w:val="20"/>
              </w:rPr>
              <w:t> </w:t>
            </w:r>
          </w:p>
          <w:p w14:paraId="2594575E" w14:textId="77777777" w:rsidR="00B24E0A" w:rsidRPr="00074BA3" w:rsidRDefault="00B24E0A"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sz w:val="20"/>
                <w:szCs w:val="20"/>
              </w:rPr>
              <w:t>I have client submitting a 4% deal. A noise assessment was performed in 2020. Can this assessment still be used with the 2022 submission? Also, how long can a noise assessment be used before it requires updating? </w:t>
            </w:r>
          </w:p>
          <w:p w14:paraId="46E87303" w14:textId="77777777" w:rsidR="00B24E0A" w:rsidRPr="00074BA3" w:rsidRDefault="00B24E0A" w:rsidP="00074BA3">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sz w:val="20"/>
                <w:szCs w:val="20"/>
              </w:rPr>
              <w:t> </w:t>
            </w:r>
          </w:p>
          <w:p w14:paraId="5E9106F7" w14:textId="77777777" w:rsidR="00B24E0A" w:rsidRPr="00502544" w:rsidRDefault="00B24E0A" w:rsidP="00806B79">
            <w:pPr>
              <w:textAlignment w:val="baseline"/>
              <w:rPr>
                <w:rFonts w:ascii="Times New Roman" w:eastAsia="Times New Roman" w:hAnsi="Times New Roman" w:cs="Times New Roman"/>
                <w:sz w:val="20"/>
                <w:szCs w:val="20"/>
              </w:rPr>
            </w:pPr>
            <w:r w:rsidRPr="00074BA3">
              <w:rPr>
                <w:rFonts w:ascii="Times New Roman" w:eastAsia="Times New Roman" w:hAnsi="Times New Roman" w:cs="Times New Roman"/>
                <w:b/>
                <w:bCs/>
                <w:sz w:val="20"/>
                <w:szCs w:val="20"/>
              </w:rPr>
              <w:t>Answer</w:t>
            </w:r>
            <w:r w:rsidRPr="00074BA3">
              <w:rPr>
                <w:rFonts w:ascii="Times New Roman" w:eastAsia="Times New Roman" w:hAnsi="Times New Roman" w:cs="Times New Roman"/>
                <w:sz w:val="20"/>
                <w:szCs w:val="20"/>
              </w:rPr>
              <w:t xml:space="preserve">: As per the DCA Environmental Manual (p. 27), available at </w:t>
            </w:r>
            <w:hyperlink r:id="rId15" w:tgtFrame="_blank" w:history="1">
              <w:r w:rsidRPr="00074BA3">
                <w:rPr>
                  <w:rFonts w:ascii="Times New Roman" w:eastAsia="Times New Roman" w:hAnsi="Times New Roman" w:cs="Times New Roman"/>
                  <w:color w:val="0563C1"/>
                  <w:sz w:val="20"/>
                  <w:szCs w:val="20"/>
                  <w:u w:val="single"/>
                </w:rPr>
                <w:t>2022 Environmental Manual and Forms | Georgia Department of Community Affairs (ga.gov),</w:t>
              </w:r>
            </w:hyperlink>
            <w:r w:rsidRPr="00074BA3">
              <w:rPr>
                <w:rFonts w:ascii="Times New Roman" w:eastAsia="Times New Roman" w:hAnsi="Times New Roman" w:cs="Times New Roman"/>
                <w:sz w:val="20"/>
                <w:szCs w:val="20"/>
              </w:rPr>
              <w:t xml:space="preserve"> the Noise Assessment, including the 10-year roadway projection, must be completed within 180 days before the application submission. </w:t>
            </w:r>
          </w:p>
        </w:tc>
      </w:tr>
      <w:tr w:rsidR="00B24E0A" w:rsidRPr="007424E0" w14:paraId="7F2F682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07059A8" w14:textId="77777777" w:rsidR="00B24E0A" w:rsidRPr="00502544" w:rsidRDefault="00B24E0A"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612C5C2B"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2.08</w:t>
            </w:r>
          </w:p>
          <w:p w14:paraId="7DD8CB2A"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Threshold Criteria</w:t>
            </w:r>
          </w:p>
          <w:p w14:paraId="00F6F988"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1DCF7FD8" w14:textId="77777777" w:rsidR="00B24E0A" w:rsidRPr="00502544" w:rsidRDefault="00B24E0A" w:rsidP="00DC1EE4">
            <w:pPr>
              <w:contextualSpacing/>
              <w:rPr>
                <w:rFonts w:ascii="Times New Roman" w:eastAsia="Times New Roman" w:hAnsi="Times New Roman" w:cs="Times New Roman"/>
                <w:color w:val="000000" w:themeColor="text1"/>
                <w:sz w:val="20"/>
                <w:szCs w:val="20"/>
              </w:rPr>
            </w:pPr>
            <w:r w:rsidRPr="00502544">
              <w:rPr>
                <w:rFonts w:ascii="Times New Roman" w:hAnsi="Times New Roman" w:cs="Times New Roman"/>
                <w:b/>
                <w:bCs/>
                <w:sz w:val="20"/>
                <w:szCs w:val="20"/>
              </w:rPr>
              <w:t>Question ID: 1013980039</w:t>
            </w:r>
            <w:r w:rsidRPr="00502544">
              <w:rPr>
                <w:rFonts w:ascii="Times New Roman" w:hAnsi="Times New Roman" w:cs="Times New Roman"/>
                <w:sz w:val="20"/>
                <w:szCs w:val="20"/>
              </w:rPr>
              <w:br/>
            </w:r>
            <w:r w:rsidRPr="00502544">
              <w:rPr>
                <w:rFonts w:ascii="Times New Roman" w:eastAsia="Times New Roman" w:hAnsi="Times New Roman" w:cs="Times New Roman"/>
                <w:color w:val="000000" w:themeColor="text1"/>
                <w:sz w:val="20"/>
                <w:szCs w:val="20"/>
              </w:rPr>
              <w:t>Within the QAP a threshold item is Site Control. It states that you must have site control through the proposed bond closing. Given that we don't know the exact timeline of when DCA will process applications and ultimately award Letters of Determination, what does control "through bond closing" mean? Can we have extension options? Technically if we only have site control through, for example, March of next year, we could be in a position to close on land if by March we are confident in our abilities to receive an LOD, thus still having site control. Any guidance would be helpful.</w:t>
            </w:r>
          </w:p>
          <w:p w14:paraId="3C68461B" w14:textId="77777777" w:rsidR="00B24E0A" w:rsidRPr="00502544" w:rsidRDefault="00B24E0A" w:rsidP="00DC1EE4">
            <w:pPr>
              <w:contextualSpacing/>
              <w:rPr>
                <w:rFonts w:ascii="Times New Roman" w:eastAsia="Times New Roman" w:hAnsi="Times New Roman" w:cs="Times New Roman"/>
                <w:color w:val="000000" w:themeColor="text1"/>
                <w:sz w:val="20"/>
                <w:szCs w:val="20"/>
              </w:rPr>
            </w:pPr>
          </w:p>
          <w:p w14:paraId="0756477A" w14:textId="77777777" w:rsidR="00B24E0A" w:rsidRPr="00502544" w:rsidRDefault="00B24E0A" w:rsidP="00DC1EE4">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1400BE08" w14:textId="77777777" w:rsidR="00B24E0A" w:rsidRPr="00502544" w:rsidRDefault="00B24E0A" w:rsidP="00DC1EE4">
            <w:pPr>
              <w:rPr>
                <w:rFonts w:ascii="Times New Roman" w:hAnsi="Times New Roman" w:cs="Times New Roman"/>
                <w:sz w:val="20"/>
                <w:szCs w:val="20"/>
              </w:rPr>
            </w:pPr>
            <w:r w:rsidRPr="00502544">
              <w:rPr>
                <w:rFonts w:ascii="Times New Roman" w:hAnsi="Times New Roman" w:cs="Times New Roman"/>
                <w:sz w:val="20"/>
                <w:szCs w:val="20"/>
              </w:rPr>
              <w:t>The QAP does not prohibit Applicants evidencing site control through a contract with the option to renew. If the contract provides the Applicant with the option to renew, the renewal option in such contract must be enforceable by the Applicant until the estimated bond closing date.</w:t>
            </w:r>
          </w:p>
          <w:p w14:paraId="7B8700E9" w14:textId="77777777" w:rsidR="00B24E0A" w:rsidRPr="00502544" w:rsidRDefault="00B24E0A" w:rsidP="00DC1EE4">
            <w:pPr>
              <w:rPr>
                <w:rFonts w:ascii="Times New Roman" w:hAnsi="Times New Roman" w:cs="Times New Roman"/>
                <w:sz w:val="20"/>
                <w:szCs w:val="20"/>
              </w:rPr>
            </w:pPr>
          </w:p>
          <w:p w14:paraId="053AD9D8" w14:textId="77777777" w:rsidR="00B24E0A" w:rsidRPr="00502544" w:rsidRDefault="00B24E0A" w:rsidP="00DC1EE4">
            <w:pPr>
              <w:rPr>
                <w:rFonts w:ascii="Times New Roman" w:hAnsi="Times New Roman" w:cs="Times New Roman"/>
                <w:sz w:val="20"/>
                <w:szCs w:val="20"/>
              </w:rPr>
            </w:pPr>
            <w:r w:rsidRPr="00502544">
              <w:rPr>
                <w:rFonts w:ascii="Times New Roman" w:hAnsi="Times New Roman" w:cs="Times New Roman"/>
                <w:sz w:val="20"/>
                <w:szCs w:val="20"/>
              </w:rPr>
              <w:t xml:space="preserve">DCA is unable to specify an exact date of bond closing, as this is dependent on multiple factors, including DCA review time and Applicant Pre-Application and </w:t>
            </w:r>
            <w:r w:rsidRPr="00502544">
              <w:rPr>
                <w:rFonts w:ascii="Times New Roman" w:hAnsi="Times New Roman" w:cs="Times New Roman"/>
                <w:sz w:val="20"/>
                <w:szCs w:val="20"/>
              </w:rPr>
              <w:t>F</w:t>
            </w:r>
            <w:r w:rsidRPr="00502544">
              <w:rPr>
                <w:rFonts w:ascii="Times New Roman" w:hAnsi="Times New Roman" w:cs="Times New Roman"/>
                <w:sz w:val="20"/>
                <w:szCs w:val="20"/>
              </w:rPr>
              <w:t xml:space="preserve">ull Application submission date. DCA reminds Applicants that Pre-Application may be submitted </w:t>
            </w:r>
            <w:r w:rsidRPr="00502544">
              <w:rPr>
                <w:rFonts w:ascii="Times New Roman" w:hAnsi="Times New Roman" w:cs="Times New Roman"/>
                <w:sz w:val="20"/>
                <w:szCs w:val="20"/>
                <w:u w:val="single"/>
              </w:rPr>
              <w:t>at any point</w:t>
            </w:r>
            <w:r w:rsidRPr="00502544">
              <w:rPr>
                <w:rFonts w:ascii="Times New Roman" w:hAnsi="Times New Roman" w:cs="Times New Roman"/>
                <w:sz w:val="20"/>
                <w:szCs w:val="20"/>
              </w:rPr>
              <w:t xml:space="preserve"> within 40 days of Notice to Proceed and </w:t>
            </w:r>
            <w:r w:rsidRPr="00502544">
              <w:rPr>
                <w:rFonts w:ascii="Times New Roman" w:hAnsi="Times New Roman" w:cs="Times New Roman"/>
                <w:sz w:val="20"/>
                <w:szCs w:val="20"/>
              </w:rPr>
              <w:t>F</w:t>
            </w:r>
            <w:r w:rsidRPr="00502544">
              <w:rPr>
                <w:rFonts w:ascii="Times New Roman" w:hAnsi="Times New Roman" w:cs="Times New Roman"/>
                <w:sz w:val="20"/>
                <w:szCs w:val="20"/>
              </w:rPr>
              <w:t xml:space="preserve">ull Application may be submitted </w:t>
            </w:r>
            <w:r w:rsidRPr="00502544">
              <w:rPr>
                <w:rFonts w:ascii="Times New Roman" w:hAnsi="Times New Roman" w:cs="Times New Roman"/>
                <w:sz w:val="20"/>
                <w:szCs w:val="20"/>
                <w:u w:val="single"/>
              </w:rPr>
              <w:t>at any point</w:t>
            </w:r>
            <w:r w:rsidRPr="00502544">
              <w:rPr>
                <w:rFonts w:ascii="Times New Roman" w:hAnsi="Times New Roman" w:cs="Times New Roman"/>
                <w:sz w:val="20"/>
                <w:szCs w:val="20"/>
              </w:rPr>
              <w:t xml:space="preserve"> within 60 days of Pre-Application approval. See the slides and recording from the 4% HTC/Bonds Workshop for additional information regarding anticipated review and announcement timeline (</w:t>
            </w:r>
            <w:hyperlink r:id="rId16">
              <w:r w:rsidRPr="00502544">
                <w:rPr>
                  <w:rStyle w:val="Hyperlink"/>
                  <w:rFonts w:ascii="Times New Roman" w:hAnsi="Times New Roman" w:cs="Times New Roman"/>
                  <w:sz w:val="20"/>
                  <w:szCs w:val="20"/>
                </w:rPr>
                <w:t>click here</w:t>
              </w:r>
            </w:hyperlink>
            <w:r w:rsidRPr="00502544">
              <w:rPr>
                <w:rFonts w:ascii="Times New Roman" w:hAnsi="Times New Roman" w:cs="Times New Roman"/>
                <w:sz w:val="20"/>
                <w:szCs w:val="20"/>
              </w:rPr>
              <w:t>).</w:t>
            </w:r>
          </w:p>
          <w:p w14:paraId="3DC3D5DC" w14:textId="77777777" w:rsidR="00B24E0A" w:rsidRPr="00502544" w:rsidRDefault="00B24E0A" w:rsidP="00DC1EE4">
            <w:pPr>
              <w:rPr>
                <w:rFonts w:ascii="Times New Roman" w:hAnsi="Times New Roman" w:cs="Times New Roman"/>
                <w:sz w:val="20"/>
                <w:szCs w:val="20"/>
              </w:rPr>
            </w:pPr>
          </w:p>
          <w:p w14:paraId="1CF04113" w14:textId="77777777" w:rsidR="00B24E0A" w:rsidRPr="00502544" w:rsidRDefault="00B24E0A" w:rsidP="00DC1EE4">
            <w:pPr>
              <w:rPr>
                <w:rFonts w:ascii="Times New Roman" w:hAnsi="Times New Roman" w:cs="Times New Roman"/>
                <w:i/>
                <w:iCs/>
                <w:sz w:val="20"/>
                <w:szCs w:val="20"/>
              </w:rPr>
            </w:pPr>
            <w:r w:rsidRPr="00502544">
              <w:rPr>
                <w:rFonts w:ascii="Times New Roman" w:hAnsi="Times New Roman" w:cs="Times New Roman"/>
                <w:sz w:val="20"/>
                <w:szCs w:val="20"/>
              </w:rPr>
              <w:t xml:space="preserve">Per </w:t>
            </w:r>
            <w:r w:rsidRPr="00502544">
              <w:rPr>
                <w:rFonts w:ascii="Times New Roman" w:hAnsi="Times New Roman" w:cs="Times New Roman"/>
                <w:b/>
                <w:bCs/>
                <w:sz w:val="20"/>
                <w:szCs w:val="20"/>
              </w:rPr>
              <w:t>(Core) 4% Federal Credit – Bond Financed Projects</w:t>
            </w:r>
            <w:r w:rsidRPr="00502544">
              <w:rPr>
                <w:rFonts w:ascii="Times New Roman" w:hAnsi="Times New Roman" w:cs="Times New Roman"/>
                <w:sz w:val="20"/>
                <w:szCs w:val="20"/>
              </w:rPr>
              <w:t xml:space="preserve">, </w:t>
            </w:r>
            <w:r w:rsidRPr="00502544">
              <w:rPr>
                <w:rFonts w:ascii="Times New Roman" w:hAnsi="Times New Roman" w:cs="Times New Roman"/>
                <w:i/>
                <w:iCs/>
                <w:sz w:val="20"/>
                <w:szCs w:val="20"/>
              </w:rPr>
              <w:t xml:space="preserve">“DCA will provide its Letter of Determination within 75 days of receipt of a </w:t>
            </w:r>
            <w:r w:rsidRPr="00502544">
              <w:rPr>
                <w:rFonts w:ascii="Times New Roman" w:hAnsi="Times New Roman" w:cs="Times New Roman"/>
                <w:i/>
                <w:iCs/>
                <w:sz w:val="20"/>
                <w:szCs w:val="20"/>
                <w:u w:val="single"/>
              </w:rPr>
              <w:t>complete</w:t>
            </w:r>
            <w:r w:rsidRPr="00502544">
              <w:rPr>
                <w:rFonts w:ascii="Times New Roman" w:hAnsi="Times New Roman" w:cs="Times New Roman"/>
                <w:i/>
                <w:iCs/>
                <w:sz w:val="20"/>
                <w:szCs w:val="20"/>
              </w:rPr>
              <w:t xml:space="preserve"> Application”</w:t>
            </w:r>
            <w:r w:rsidRPr="00502544">
              <w:rPr>
                <w:rFonts w:ascii="Times New Roman" w:hAnsi="Times New Roman" w:cs="Times New Roman"/>
                <w:sz w:val="20"/>
                <w:szCs w:val="20"/>
              </w:rPr>
              <w:t>, and</w:t>
            </w:r>
            <w:r w:rsidRPr="00502544">
              <w:rPr>
                <w:rFonts w:ascii="Times New Roman" w:hAnsi="Times New Roman" w:cs="Times New Roman"/>
                <w:i/>
                <w:iCs/>
                <w:sz w:val="20"/>
                <w:szCs w:val="20"/>
              </w:rPr>
              <w:t xml:space="preserve"> “Owners must close the bond financing within 180 days of the LOD issuance.”</w:t>
            </w:r>
          </w:p>
          <w:p w14:paraId="47FD3BCF" w14:textId="77777777" w:rsidR="00B24E0A" w:rsidRPr="00502544" w:rsidRDefault="00B24E0A" w:rsidP="00DC1EE4">
            <w:pPr>
              <w:rPr>
                <w:rFonts w:ascii="Times New Roman" w:hAnsi="Times New Roman" w:cs="Times New Roman"/>
                <w:sz w:val="20"/>
                <w:szCs w:val="20"/>
              </w:rPr>
            </w:pPr>
          </w:p>
          <w:p w14:paraId="58EC6018" w14:textId="77777777" w:rsidR="00B24E0A" w:rsidRPr="00502544" w:rsidRDefault="00B24E0A" w:rsidP="00EC71B6">
            <w:pPr>
              <w:rPr>
                <w:rFonts w:ascii="Times New Roman" w:hAnsi="Times New Roman" w:cs="Times New Roman"/>
                <w:sz w:val="20"/>
                <w:szCs w:val="20"/>
              </w:rPr>
            </w:pPr>
            <w:r w:rsidRPr="00502544">
              <w:rPr>
                <w:rFonts w:ascii="Times New Roman" w:hAnsi="Times New Roman" w:cs="Times New Roman"/>
                <w:sz w:val="20"/>
                <w:szCs w:val="20"/>
              </w:rPr>
              <w:t>Applicants should consider the above factors in determining the estimated bond closing date.</w:t>
            </w:r>
          </w:p>
        </w:tc>
      </w:tr>
      <w:tr w:rsidR="00B24E0A" w:rsidRPr="007424E0" w14:paraId="0595B8A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8BAE460" w14:textId="77777777" w:rsidR="00B24E0A" w:rsidRPr="00502544" w:rsidRDefault="00B24E0A"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14D812D1" w14:textId="77777777" w:rsidR="00B24E0A" w:rsidRPr="00502544" w:rsidRDefault="00B24E0A" w:rsidP="00185971">
            <w:pPr>
              <w:rPr>
                <w:rFonts w:ascii="Times New Roman" w:hAnsi="Times New Roman" w:cs="Times New Roman"/>
                <w:sz w:val="20"/>
                <w:szCs w:val="20"/>
              </w:rPr>
            </w:pPr>
            <w:r>
              <w:rPr>
                <w:rFonts w:ascii="Times New Roman" w:hAnsi="Times New Roman" w:cs="Times New Roman"/>
                <w:sz w:val="20"/>
                <w:szCs w:val="20"/>
              </w:rPr>
              <w:t>2</w:t>
            </w:r>
            <w:r w:rsidRPr="00502544">
              <w:rPr>
                <w:rFonts w:ascii="Times New Roman" w:hAnsi="Times New Roman" w:cs="Times New Roman"/>
                <w:sz w:val="20"/>
                <w:szCs w:val="20"/>
              </w:rPr>
              <w:t>.28</w:t>
            </w:r>
          </w:p>
          <w:p w14:paraId="40568A88"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 xml:space="preserve">Threshold </w:t>
            </w:r>
            <w:proofErr w:type="gramStart"/>
            <w:r w:rsidRPr="00502544">
              <w:rPr>
                <w:rFonts w:ascii="Times New Roman" w:hAnsi="Times New Roman" w:cs="Times New Roman"/>
                <w:sz w:val="20"/>
                <w:szCs w:val="20"/>
              </w:rPr>
              <w:t>Criteria;</w:t>
            </w:r>
            <w:proofErr w:type="gramEnd"/>
          </w:p>
          <w:p w14:paraId="530D5C7F"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DCA Underwriting Requirements</w:t>
            </w:r>
          </w:p>
        </w:tc>
        <w:tc>
          <w:tcPr>
            <w:tcW w:w="9585" w:type="dxa"/>
            <w:shd w:val="clear" w:color="auto" w:fill="auto"/>
            <w:tcMar>
              <w:top w:w="72" w:type="dxa"/>
              <w:left w:w="115" w:type="dxa"/>
              <w:bottom w:w="72" w:type="dxa"/>
              <w:right w:w="115" w:type="dxa"/>
            </w:tcMar>
            <w:vAlign w:val="center"/>
          </w:tcPr>
          <w:p w14:paraId="42A24CDA" w14:textId="77777777" w:rsidR="00B24E0A" w:rsidRPr="00502544" w:rsidRDefault="00B24E0A" w:rsidP="009A50FF">
            <w:pPr>
              <w:contextualSpacing/>
              <w:rPr>
                <w:rFonts w:ascii="Times New Roman" w:hAnsi="Times New Roman" w:cs="Times New Roman"/>
                <w:b/>
                <w:bCs/>
                <w:color w:val="000000"/>
                <w:sz w:val="20"/>
                <w:szCs w:val="20"/>
                <w:shd w:val="clear" w:color="auto" w:fill="FFFFFF"/>
              </w:rPr>
            </w:pPr>
            <w:r w:rsidRPr="00502544">
              <w:rPr>
                <w:rFonts w:ascii="Times New Roman" w:hAnsi="Times New Roman" w:cs="Times New Roman"/>
                <w:b/>
                <w:bCs/>
                <w:sz w:val="20"/>
                <w:szCs w:val="20"/>
              </w:rPr>
              <w:t xml:space="preserve">Question ID:  </w:t>
            </w:r>
            <w:r w:rsidRPr="00502544">
              <w:rPr>
                <w:rFonts w:ascii="Times New Roman" w:hAnsi="Times New Roman" w:cs="Times New Roman"/>
                <w:b/>
                <w:bCs/>
                <w:color w:val="000000"/>
                <w:sz w:val="20"/>
                <w:szCs w:val="20"/>
                <w:shd w:val="clear" w:color="auto" w:fill="FFFFFF"/>
              </w:rPr>
              <w:t>1015486767</w:t>
            </w:r>
          </w:p>
          <w:p w14:paraId="676B236E" w14:textId="77777777" w:rsidR="00B24E0A" w:rsidRPr="00502544" w:rsidRDefault="00B24E0A" w:rsidP="009A50FF">
            <w:pPr>
              <w:contextualSpacing/>
              <w:rPr>
                <w:rFonts w:ascii="Times New Roman" w:hAnsi="Times New Roman" w:cs="Times New Roman"/>
                <w:sz w:val="20"/>
                <w:szCs w:val="20"/>
              </w:rPr>
            </w:pPr>
            <w:r w:rsidRPr="00502544">
              <w:rPr>
                <w:rFonts w:ascii="Times New Roman" w:hAnsi="Times New Roman" w:cs="Times New Roman"/>
                <w:sz w:val="20"/>
                <w:szCs w:val="20"/>
              </w:rPr>
              <w:t xml:space="preserve">• Threshold - Underwriting: 11. Distribution across Unit / Bedroom Sizes: </w:t>
            </w:r>
          </w:p>
          <w:p w14:paraId="143B23CE" w14:textId="77777777" w:rsidR="00B24E0A" w:rsidRPr="00502544" w:rsidRDefault="00B24E0A" w:rsidP="009A50FF">
            <w:pPr>
              <w:contextualSpacing/>
              <w:rPr>
                <w:rFonts w:ascii="Times New Roman" w:hAnsi="Times New Roman" w:cs="Times New Roman"/>
                <w:sz w:val="20"/>
                <w:szCs w:val="20"/>
              </w:rPr>
            </w:pPr>
            <w:r w:rsidRPr="00502544">
              <w:rPr>
                <w:rFonts w:ascii="Times New Roman" w:hAnsi="Times New Roman" w:cs="Times New Roman"/>
                <w:sz w:val="20"/>
                <w:szCs w:val="20"/>
              </w:rPr>
              <w:t xml:space="preserve">o </w:t>
            </w:r>
            <w:proofErr w:type="gramStart"/>
            <w:r w:rsidRPr="00502544">
              <w:rPr>
                <w:rFonts w:ascii="Times New Roman" w:hAnsi="Times New Roman" w:cs="Times New Roman"/>
                <w:sz w:val="20"/>
                <w:szCs w:val="20"/>
              </w:rPr>
              <w:t>The</w:t>
            </w:r>
            <w:proofErr w:type="gramEnd"/>
            <w:r w:rsidRPr="00502544">
              <w:rPr>
                <w:rFonts w:ascii="Times New Roman" w:hAnsi="Times New Roman" w:cs="Times New Roman"/>
                <w:sz w:val="20"/>
                <w:szCs w:val="20"/>
              </w:rPr>
              <w:t xml:space="preserve"> project we are submitting will include an Income Averaging minimum set-aside election with muti-tiered rent structure. Due to specific constraints, we are planning on submitting for a waiver regarding DCA’s equal distribution / unit parity requirements. It is our understanding that these waivers are to be submitted at the Pre-Application stage, which would follow the Competitive Review Submission stage. Is that correct?  If that is correct, how should we present the unit mix to be included within the Completive Review stage Core App – Is it acceptable to include the unit mix we are planning to utilize, which would be non-conforming to DCA’s unit parity requirements without an approved waiver?</w:t>
            </w:r>
          </w:p>
          <w:p w14:paraId="3BD95E71" w14:textId="77777777" w:rsidR="00B24E0A" w:rsidRPr="00502544" w:rsidRDefault="00B24E0A" w:rsidP="009A50FF">
            <w:pPr>
              <w:contextualSpacing/>
              <w:rPr>
                <w:rFonts w:ascii="Times New Roman" w:hAnsi="Times New Roman" w:cs="Times New Roman"/>
                <w:sz w:val="20"/>
                <w:szCs w:val="20"/>
              </w:rPr>
            </w:pPr>
          </w:p>
          <w:p w14:paraId="1D08EF44" w14:textId="77777777" w:rsidR="00B24E0A" w:rsidRPr="00502544" w:rsidRDefault="00B24E0A" w:rsidP="009A50FF">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7ACFD1DA" w14:textId="77777777" w:rsidR="00B24E0A" w:rsidRPr="00502544" w:rsidRDefault="00B24E0A" w:rsidP="009A50FF">
            <w:pPr>
              <w:contextualSpacing/>
              <w:rPr>
                <w:rFonts w:ascii="Times New Roman" w:hAnsi="Times New Roman" w:cs="Times New Roman"/>
                <w:sz w:val="20"/>
                <w:szCs w:val="20"/>
              </w:rPr>
            </w:pPr>
            <w:r w:rsidRPr="00502544">
              <w:rPr>
                <w:rFonts w:ascii="Times New Roman" w:hAnsi="Times New Roman" w:cs="Times New Roman"/>
                <w:sz w:val="20"/>
                <w:szCs w:val="20"/>
              </w:rPr>
              <w:t>Please propose the unit mix you plan to utilize. If selected through the Competitive Review process, you may request a waiver at Pre-Application.</w:t>
            </w:r>
          </w:p>
          <w:p w14:paraId="11B28359" w14:textId="77777777" w:rsidR="00B24E0A" w:rsidRPr="00502544" w:rsidRDefault="00B24E0A" w:rsidP="009A50FF">
            <w:pPr>
              <w:contextualSpacing/>
              <w:rPr>
                <w:rFonts w:ascii="Times New Roman" w:hAnsi="Times New Roman" w:cs="Times New Roman"/>
                <w:sz w:val="20"/>
                <w:szCs w:val="20"/>
              </w:rPr>
            </w:pPr>
          </w:p>
          <w:p w14:paraId="08659738" w14:textId="77777777" w:rsidR="00B24E0A" w:rsidRPr="00502544" w:rsidRDefault="00B24E0A" w:rsidP="009A50FF">
            <w:pPr>
              <w:contextualSpacing/>
              <w:rPr>
                <w:rFonts w:ascii="Times New Roman" w:hAnsi="Times New Roman" w:cs="Times New Roman"/>
                <w:sz w:val="20"/>
                <w:szCs w:val="20"/>
              </w:rPr>
            </w:pPr>
            <w:r w:rsidRPr="00502544">
              <w:rPr>
                <w:rFonts w:ascii="Times New Roman" w:hAnsi="Times New Roman" w:cs="Times New Roman"/>
                <w:sz w:val="20"/>
                <w:szCs w:val="20"/>
              </w:rPr>
              <w:t>Please see the below excerpt from DCA’s Average Income Policy (</w:t>
            </w:r>
            <w:hyperlink r:id="rId17">
              <w:r w:rsidRPr="00502544">
                <w:rPr>
                  <w:rStyle w:val="Hyperlink"/>
                  <w:rFonts w:ascii="Times New Roman" w:hAnsi="Times New Roman" w:cs="Times New Roman"/>
                  <w:sz w:val="20"/>
                  <w:szCs w:val="20"/>
                </w:rPr>
                <w:t>click here</w:t>
              </w:r>
            </w:hyperlink>
            <w:r w:rsidRPr="00502544">
              <w:rPr>
                <w:rFonts w:ascii="Times New Roman" w:hAnsi="Times New Roman" w:cs="Times New Roman"/>
                <w:sz w:val="20"/>
                <w:szCs w:val="20"/>
              </w:rPr>
              <w:t>) regarding DCA consideration of exemptions to the equal distribution requirement:</w:t>
            </w:r>
          </w:p>
          <w:p w14:paraId="3C67076D" w14:textId="77777777" w:rsidR="00B24E0A" w:rsidRPr="00502544" w:rsidRDefault="00B24E0A" w:rsidP="009A50FF">
            <w:pPr>
              <w:ind w:left="360"/>
              <w:contextualSpacing/>
              <w:rPr>
                <w:rFonts w:ascii="Times New Roman" w:hAnsi="Times New Roman" w:cs="Times New Roman"/>
                <w:i/>
                <w:iCs/>
                <w:sz w:val="20"/>
                <w:szCs w:val="20"/>
              </w:rPr>
            </w:pPr>
            <w:r w:rsidRPr="00502544">
              <w:rPr>
                <w:rFonts w:ascii="Times New Roman" w:hAnsi="Times New Roman" w:cs="Times New Roman"/>
                <w:i/>
                <w:iCs/>
                <w:sz w:val="20"/>
                <w:szCs w:val="20"/>
              </w:rPr>
              <w:t>“Income limits must be equally distributed among bedroom sizes (other than +- 2 units per each BR size and AMI limit). DCA will consider exceptions to this requirement when necessary to:</w:t>
            </w:r>
          </w:p>
          <w:p w14:paraId="5794B065" w14:textId="77777777" w:rsidR="00B24E0A" w:rsidRPr="00502544" w:rsidRDefault="00B24E0A"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reduce relocation impact in occupied rehab properties</w:t>
            </w:r>
          </w:p>
          <w:p w14:paraId="7E3FFDAF" w14:textId="77777777" w:rsidR="00B24E0A" w:rsidRPr="00502544" w:rsidRDefault="00B24E0A"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comply with the requirements of federal project-based assistance, and</w:t>
            </w:r>
          </w:p>
          <w:p w14:paraId="77F43176" w14:textId="77777777" w:rsidR="00B24E0A" w:rsidRPr="00502544" w:rsidRDefault="00B24E0A" w:rsidP="009A50FF">
            <w:pPr>
              <w:pStyle w:val="ListParagraph"/>
              <w:numPr>
                <w:ilvl w:val="0"/>
                <w:numId w:val="69"/>
              </w:numPr>
              <w:rPr>
                <w:rFonts w:ascii="Times New Roman" w:hAnsi="Times New Roman" w:cs="Times New Roman"/>
                <w:i/>
                <w:iCs/>
                <w:sz w:val="20"/>
                <w:szCs w:val="20"/>
              </w:rPr>
            </w:pPr>
            <w:r w:rsidRPr="00502544">
              <w:rPr>
                <w:rFonts w:ascii="Times New Roman" w:hAnsi="Times New Roman" w:cs="Times New Roman"/>
                <w:i/>
                <w:iCs/>
                <w:sz w:val="20"/>
                <w:szCs w:val="20"/>
              </w:rPr>
              <w:t>facilitate HUD 811 units or other forms of supportive housing.”</w:t>
            </w:r>
          </w:p>
          <w:p w14:paraId="6E1A64B0" w14:textId="77777777" w:rsidR="00B24E0A" w:rsidRPr="00502544" w:rsidRDefault="00B24E0A" w:rsidP="00EC71B6">
            <w:pPr>
              <w:contextualSpacing/>
              <w:rPr>
                <w:rFonts w:ascii="Times New Roman" w:hAnsi="Times New Roman" w:cs="Times New Roman"/>
                <w:b/>
                <w:bCs/>
                <w:sz w:val="20"/>
                <w:szCs w:val="20"/>
              </w:rPr>
            </w:pPr>
          </w:p>
        </w:tc>
      </w:tr>
      <w:tr w:rsidR="00B24E0A" w:rsidRPr="007424E0" w14:paraId="4CEDD9D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BD91310" w14:textId="77777777" w:rsidR="00B24E0A" w:rsidRPr="00502544" w:rsidRDefault="00B24E0A"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31BD4273"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3.06</w:t>
            </w:r>
          </w:p>
          <w:p w14:paraId="44AB165C"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 xml:space="preserve">Scoring </w:t>
            </w:r>
            <w:proofErr w:type="gramStart"/>
            <w:r w:rsidRPr="00502544">
              <w:rPr>
                <w:rFonts w:ascii="Times New Roman" w:hAnsi="Times New Roman" w:cs="Times New Roman"/>
                <w:sz w:val="20"/>
                <w:szCs w:val="20"/>
              </w:rPr>
              <w:t>Criteria;</w:t>
            </w:r>
            <w:proofErr w:type="gramEnd"/>
          </w:p>
          <w:p w14:paraId="7285A66E"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Community Transportation Options</w:t>
            </w:r>
          </w:p>
        </w:tc>
        <w:tc>
          <w:tcPr>
            <w:tcW w:w="9585" w:type="dxa"/>
            <w:shd w:val="clear" w:color="auto" w:fill="auto"/>
            <w:tcMar>
              <w:top w:w="72" w:type="dxa"/>
              <w:left w:w="115" w:type="dxa"/>
              <w:bottom w:w="72" w:type="dxa"/>
              <w:right w:w="115" w:type="dxa"/>
            </w:tcMar>
            <w:vAlign w:val="center"/>
          </w:tcPr>
          <w:p w14:paraId="0C4EB017" w14:textId="77777777" w:rsidR="00B24E0A" w:rsidRPr="00502544" w:rsidRDefault="00B24E0A" w:rsidP="00EC71B6">
            <w:pPr>
              <w:contextualSpacing/>
              <w:rPr>
                <w:rFonts w:ascii="Times New Roman" w:eastAsia="Times New Roman" w:hAnsi="Times New Roman" w:cs="Times New Roman"/>
                <w:color w:val="000000" w:themeColor="text1"/>
                <w:sz w:val="20"/>
                <w:szCs w:val="20"/>
              </w:rPr>
            </w:pPr>
            <w:r w:rsidRPr="00502544">
              <w:rPr>
                <w:rFonts w:ascii="Times New Roman" w:hAnsi="Times New Roman" w:cs="Times New Roman"/>
                <w:b/>
                <w:bCs/>
                <w:sz w:val="20"/>
                <w:szCs w:val="20"/>
              </w:rPr>
              <w:t xml:space="preserve">Question ID: </w:t>
            </w:r>
            <w:r w:rsidRPr="00502544">
              <w:rPr>
                <w:rFonts w:ascii="Times New Roman" w:eastAsia="Calibri" w:hAnsi="Times New Roman" w:cs="Times New Roman"/>
                <w:color w:val="000000" w:themeColor="text1"/>
                <w:sz w:val="20"/>
                <w:szCs w:val="20"/>
              </w:rPr>
              <w:t>1007640689_2</w:t>
            </w:r>
          </w:p>
          <w:p w14:paraId="41C62C03" w14:textId="77777777" w:rsidR="00B24E0A" w:rsidRPr="00502544" w:rsidRDefault="00B24E0A" w:rsidP="00EC71B6">
            <w:pPr>
              <w:contextualSpacing/>
              <w:rPr>
                <w:rFonts w:ascii="Times New Roman" w:eastAsia="Times New Roman" w:hAnsi="Times New Roman" w:cs="Times New Roman"/>
                <w:color w:val="000000" w:themeColor="text1"/>
                <w:sz w:val="20"/>
                <w:szCs w:val="20"/>
              </w:rPr>
            </w:pPr>
            <w:r w:rsidRPr="00502544">
              <w:rPr>
                <w:rFonts w:ascii="Times New Roman" w:eastAsia="Calibri" w:hAnsi="Times New Roman" w:cs="Times New Roman"/>
                <w:color w:val="000000" w:themeColor="text1"/>
                <w:sz w:val="20"/>
                <w:szCs w:val="20"/>
              </w:rPr>
              <w:t>The community transportation is tied to walking entrance coordinates on the conceptual site development plan.  Do we need conceptual site development plan to be part of the initial 4% submission or will the coordinates for vehicle entrance and walking entrance suffice?</w:t>
            </w:r>
            <w:r w:rsidRPr="00502544">
              <w:rPr>
                <w:rFonts w:ascii="Times New Roman" w:hAnsi="Times New Roman" w:cs="Times New Roman"/>
                <w:sz w:val="20"/>
                <w:szCs w:val="20"/>
              </w:rPr>
              <w:br/>
            </w:r>
          </w:p>
          <w:p w14:paraId="6A9337C5" w14:textId="77777777" w:rsidR="00B24E0A" w:rsidRPr="00502544" w:rsidRDefault="00B24E0A" w:rsidP="00EC71B6">
            <w:pPr>
              <w:contextualSpacing/>
              <w:rPr>
                <w:rFonts w:ascii="Times New Roman" w:eastAsia="Times New Roman" w:hAnsi="Times New Roman" w:cs="Times New Roman"/>
                <w:color w:val="000000" w:themeColor="text1"/>
                <w:sz w:val="20"/>
                <w:szCs w:val="20"/>
              </w:rPr>
            </w:pPr>
          </w:p>
          <w:p w14:paraId="2CCF61C0" w14:textId="77777777" w:rsidR="00B24E0A" w:rsidRPr="00502544" w:rsidRDefault="00B24E0A" w:rsidP="00EC71B6">
            <w:pPr>
              <w:contextualSpacing/>
              <w:rPr>
                <w:rFonts w:ascii="Times New Roman" w:hAnsi="Times New Roman" w:cs="Times New Roman"/>
                <w:sz w:val="20"/>
                <w:szCs w:val="20"/>
              </w:rPr>
            </w:pPr>
            <w:r w:rsidRPr="00502544">
              <w:rPr>
                <w:rFonts w:ascii="Times New Roman" w:hAnsi="Times New Roman" w:cs="Times New Roman"/>
                <w:b/>
                <w:bCs/>
                <w:sz w:val="20"/>
                <w:szCs w:val="20"/>
              </w:rPr>
              <w:t>Answer</w:t>
            </w:r>
            <w:r w:rsidRPr="00502544">
              <w:rPr>
                <w:rFonts w:ascii="Times New Roman" w:hAnsi="Times New Roman" w:cs="Times New Roman"/>
                <w:sz w:val="20"/>
                <w:szCs w:val="20"/>
              </w:rPr>
              <w:t xml:space="preserve">: </w:t>
            </w:r>
          </w:p>
          <w:p w14:paraId="2AE5CCC8" w14:textId="77777777" w:rsidR="00B24E0A" w:rsidRPr="00502544" w:rsidRDefault="00B24E0A" w:rsidP="00EC71B6">
            <w:pPr>
              <w:spacing w:line="257" w:lineRule="auto"/>
              <w:rPr>
                <w:rFonts w:ascii="Times New Roman" w:hAnsi="Times New Roman" w:cs="Times New Roman"/>
                <w:b/>
                <w:bCs/>
                <w:sz w:val="20"/>
                <w:szCs w:val="20"/>
              </w:rPr>
            </w:pPr>
            <w:r w:rsidRPr="00502544">
              <w:rPr>
                <w:rFonts w:ascii="Times New Roman" w:eastAsia="Calibri" w:hAnsi="Times New Roman" w:cs="Times New Roman"/>
                <w:sz w:val="20"/>
                <w:szCs w:val="20"/>
              </w:rPr>
              <w:t>Since a CSDP is not required for the 4%/Bonds Competitive Review Submission, coordinates for the vehicle and walking distance will suffice for purposes of Community Transportation.</w:t>
            </w:r>
          </w:p>
        </w:tc>
      </w:tr>
      <w:tr w:rsidR="00B24E0A" w:rsidRPr="007424E0" w14:paraId="47E3A2F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BC9F380" w14:textId="77777777" w:rsidR="00B24E0A" w:rsidRPr="00502544" w:rsidRDefault="00B24E0A" w:rsidP="000F6D48">
            <w:pPr>
              <w:rPr>
                <w:rFonts w:ascii="Times New Roman" w:eastAsia="Times New Roman" w:hAnsi="Times New Roman" w:cs="Times New Roman"/>
                <w:noProof/>
                <w:sz w:val="20"/>
                <w:szCs w:val="20"/>
              </w:rPr>
            </w:pPr>
            <w:r w:rsidRPr="00502544">
              <w:rPr>
                <w:rFonts w:ascii="Times New Roman" w:eastAsia="Times New Roman" w:hAnsi="Times New Roman" w:cs="Times New Roman"/>
                <w:noProof/>
                <w:sz w:val="20"/>
                <w:szCs w:val="20"/>
              </w:rPr>
              <w:t>10/11/22</w:t>
            </w:r>
          </w:p>
        </w:tc>
        <w:tc>
          <w:tcPr>
            <w:tcW w:w="2663" w:type="dxa"/>
            <w:shd w:val="clear" w:color="auto" w:fill="auto"/>
            <w:tcMar>
              <w:top w:w="72" w:type="dxa"/>
              <w:left w:w="115" w:type="dxa"/>
              <w:bottom w:w="72" w:type="dxa"/>
              <w:right w:w="115" w:type="dxa"/>
            </w:tcMar>
            <w:vAlign w:val="center"/>
          </w:tcPr>
          <w:p w14:paraId="6D8F67C3"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3.21</w:t>
            </w:r>
          </w:p>
          <w:p w14:paraId="318CA41E"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 xml:space="preserve">Scoring </w:t>
            </w:r>
            <w:proofErr w:type="gramStart"/>
            <w:r w:rsidRPr="00502544">
              <w:rPr>
                <w:rFonts w:ascii="Times New Roman" w:hAnsi="Times New Roman" w:cs="Times New Roman"/>
                <w:sz w:val="20"/>
                <w:szCs w:val="20"/>
              </w:rPr>
              <w:t>Criteria;</w:t>
            </w:r>
            <w:proofErr w:type="gramEnd"/>
          </w:p>
          <w:p w14:paraId="7B80EB89" w14:textId="77777777" w:rsidR="00B24E0A" w:rsidRPr="00502544" w:rsidRDefault="00B24E0A" w:rsidP="00185971">
            <w:pPr>
              <w:rPr>
                <w:rFonts w:ascii="Times New Roman" w:hAnsi="Times New Roman" w:cs="Times New Roman"/>
                <w:sz w:val="20"/>
                <w:szCs w:val="20"/>
              </w:rPr>
            </w:pPr>
            <w:r w:rsidRPr="00502544">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1BD8E267" w14:textId="77777777" w:rsidR="00B24E0A" w:rsidRPr="00806B79" w:rsidRDefault="00B24E0A"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b/>
                <w:bCs/>
                <w:sz w:val="20"/>
                <w:szCs w:val="20"/>
              </w:rPr>
              <w:t>Question ID: 1015778673</w:t>
            </w:r>
            <w:r w:rsidRPr="00806B79">
              <w:rPr>
                <w:rFonts w:ascii="Times New Roman" w:eastAsia="Times New Roman" w:hAnsi="Times New Roman" w:cs="Times New Roman"/>
                <w:sz w:val="20"/>
                <w:szCs w:val="20"/>
              </w:rPr>
              <w:t> </w:t>
            </w:r>
            <w:r w:rsidRPr="00806B79">
              <w:rPr>
                <w:rFonts w:ascii="Times New Roman" w:eastAsia="Times New Roman" w:hAnsi="Times New Roman" w:cs="Times New Roman"/>
                <w:sz w:val="20"/>
                <w:szCs w:val="20"/>
              </w:rPr>
              <w:br/>
            </w:r>
            <w:r w:rsidRPr="00806B79">
              <w:rPr>
                <w:rFonts w:ascii="Times New Roman" w:eastAsia="Times New Roman" w:hAnsi="Times New Roman" w:cs="Times New Roman"/>
                <w:color w:val="000000"/>
                <w:sz w:val="20"/>
                <w:szCs w:val="20"/>
              </w:rPr>
              <w:t>In looking at the favorable financing section, I notice at the bottom of the checklist the QAP mentions federal loan not originated by a conventional bank. Would our projects qualify for points in this section if we are using an FHA 221d4 as a source of financing? </w:t>
            </w:r>
          </w:p>
          <w:p w14:paraId="6A72582A" w14:textId="77777777" w:rsidR="00B24E0A" w:rsidRPr="00806B79" w:rsidRDefault="00B24E0A"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color w:val="000000"/>
                <w:sz w:val="20"/>
                <w:szCs w:val="20"/>
              </w:rPr>
              <w:t> </w:t>
            </w:r>
          </w:p>
          <w:p w14:paraId="3FAD3FCA" w14:textId="77777777" w:rsidR="00B24E0A" w:rsidRPr="00806B79" w:rsidRDefault="00B24E0A"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b/>
                <w:bCs/>
                <w:sz w:val="20"/>
                <w:szCs w:val="20"/>
              </w:rPr>
              <w:t>Answer</w:t>
            </w:r>
            <w:r w:rsidRPr="00806B79">
              <w:rPr>
                <w:rFonts w:ascii="Times New Roman" w:eastAsia="Times New Roman" w:hAnsi="Times New Roman" w:cs="Times New Roman"/>
                <w:sz w:val="20"/>
                <w:szCs w:val="20"/>
              </w:rPr>
              <w:t>:   </w:t>
            </w:r>
          </w:p>
          <w:p w14:paraId="7474FDE0" w14:textId="77777777" w:rsidR="00B24E0A" w:rsidRPr="00806B79" w:rsidRDefault="00B24E0A" w:rsidP="00806B79">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sz w:val="20"/>
                <w:szCs w:val="20"/>
              </w:rPr>
              <w:t>QAP, Scoring, XXI (Favorable Financing), (A): Qualifying Sources for Favorable Financing: includes “11. Other Federal, State, or local grant funds or loans. Loans under this category are ineligible if originated by a conventional bank.” </w:t>
            </w:r>
          </w:p>
          <w:p w14:paraId="473C5DE1" w14:textId="77777777" w:rsidR="00B24E0A" w:rsidRPr="00806B79" w:rsidRDefault="00B24E0A" w:rsidP="00806B79">
            <w:pPr>
              <w:textAlignment w:val="baseline"/>
              <w:rPr>
                <w:rFonts w:ascii="Times New Roman" w:eastAsia="Times New Roman" w:hAnsi="Times New Roman" w:cs="Times New Roman"/>
                <w:color w:val="000000"/>
                <w:sz w:val="20"/>
                <w:szCs w:val="20"/>
              </w:rPr>
            </w:pPr>
            <w:r w:rsidRPr="00806B79">
              <w:rPr>
                <w:rFonts w:ascii="Times New Roman" w:eastAsia="Times New Roman" w:hAnsi="Times New Roman" w:cs="Times New Roman"/>
                <w:sz w:val="20"/>
                <w:szCs w:val="20"/>
              </w:rPr>
              <w:t> </w:t>
            </w:r>
          </w:p>
          <w:p w14:paraId="71EA62F7" w14:textId="77777777" w:rsidR="00B24E0A" w:rsidRPr="00502544" w:rsidRDefault="00B24E0A" w:rsidP="00765B8E">
            <w:pPr>
              <w:textAlignment w:val="baseline"/>
              <w:rPr>
                <w:rFonts w:ascii="Times New Roman" w:eastAsia="Times New Roman" w:hAnsi="Times New Roman" w:cs="Times New Roman"/>
                <w:sz w:val="20"/>
                <w:szCs w:val="20"/>
              </w:rPr>
            </w:pPr>
            <w:r w:rsidRPr="00806B79">
              <w:rPr>
                <w:rFonts w:ascii="Times New Roman" w:eastAsia="Times New Roman" w:hAnsi="Times New Roman" w:cs="Times New Roman"/>
                <w:sz w:val="20"/>
                <w:szCs w:val="20"/>
              </w:rPr>
              <w:t>The HUD/FHA 221(d)(4) program is a mortgage insurance program, and neither HUD nor FHA are the loan originators.  To qualify for points in this section, the originator of a qualifying loan must not be a conventional bank. </w:t>
            </w:r>
          </w:p>
        </w:tc>
      </w:tr>
      <w:tr w:rsidR="00B24E0A" w:rsidRPr="007424E0" w14:paraId="5F20FEA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2EF42FC"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2FE976F1"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1.12</w:t>
            </w:r>
          </w:p>
          <w:p w14:paraId="2A84DAA4"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45C47CF3"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1DFA5909" w14:textId="77777777" w:rsidR="00B24E0A" w:rsidRPr="007424E0" w:rsidRDefault="00B24E0A" w:rsidP="004569ED">
            <w:pPr>
              <w:contextualSpacing/>
              <w:rPr>
                <w:rFonts w:ascii="Times New Roman" w:eastAsia="Times New Roman"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995414261_3</w:t>
            </w:r>
          </w:p>
          <w:p w14:paraId="2836712F" w14:textId="77777777" w:rsidR="00B24E0A" w:rsidRDefault="00B24E0A" w:rsidP="004569ED">
            <w:pPr>
              <w:contextualSpacing/>
              <w:rPr>
                <w:rFonts w:ascii="Times New Roman" w:eastAsia="Calibri" w:hAnsi="Times New Roman" w:cs="Times New Roman"/>
                <w:color w:val="000000" w:themeColor="text1"/>
                <w:sz w:val="20"/>
                <w:szCs w:val="20"/>
              </w:rPr>
            </w:pPr>
            <w:r w:rsidRPr="007424E0">
              <w:rPr>
                <w:rFonts w:ascii="Times New Roman" w:eastAsia="Calibri" w:hAnsi="Times New Roman" w:cs="Times New Roman"/>
                <w:color w:val="000000" w:themeColor="text1"/>
                <w:sz w:val="20"/>
                <w:szCs w:val="20"/>
              </w:rPr>
              <w:t>Eligibility of Scattered Site P. 15 of the Core Section states</w:t>
            </w:r>
            <w:r>
              <w:rPr>
                <w:rFonts w:ascii="Times New Roman" w:eastAsia="Calibri" w:hAnsi="Times New Roman" w:cs="Times New Roman"/>
                <w:color w:val="000000" w:themeColor="text1"/>
                <w:sz w:val="20"/>
                <w:szCs w:val="20"/>
              </w:rPr>
              <w:t>,</w:t>
            </w:r>
            <w:r w:rsidRPr="007424E0">
              <w:rPr>
                <w:rFonts w:ascii="Times New Roman" w:eastAsia="Calibri" w:hAnsi="Times New Roman" w:cs="Times New Roman"/>
                <w:color w:val="000000" w:themeColor="text1"/>
                <w:sz w:val="20"/>
                <w:szCs w:val="20"/>
              </w:rPr>
              <w:t xml:space="preserve"> </w:t>
            </w:r>
            <w:r w:rsidRPr="00C4487A">
              <w:rPr>
                <w:rFonts w:ascii="Times New Roman" w:eastAsia="Calibri" w:hAnsi="Times New Roman" w:cs="Times New Roman"/>
                <w:i/>
                <w:iCs/>
                <w:color w:val="000000" w:themeColor="text1"/>
                <w:sz w:val="20"/>
                <w:szCs w:val="20"/>
              </w:rPr>
              <w:t>"No more than six (6) non-contiguous parcels within a ½ mile radius and a minimum of four (4) residential units per parcel, except for parcels on which the community center is located</w:t>
            </w:r>
            <w:r>
              <w:rPr>
                <w:rFonts w:ascii="Times New Roman" w:eastAsia="Calibri" w:hAnsi="Times New Roman" w:cs="Times New Roman"/>
                <w:i/>
                <w:iCs/>
                <w:color w:val="000000" w:themeColor="text1"/>
                <w:sz w:val="20"/>
                <w:szCs w:val="20"/>
              </w:rPr>
              <w:t>.</w:t>
            </w:r>
            <w:r w:rsidRPr="00C4487A">
              <w:rPr>
                <w:rFonts w:ascii="Times New Roman" w:eastAsia="Calibri" w:hAnsi="Times New Roman" w:cs="Times New Roman"/>
                <w:i/>
                <w:iCs/>
                <w:color w:val="000000" w:themeColor="text1"/>
                <w:sz w:val="20"/>
                <w:szCs w:val="20"/>
              </w:rPr>
              <w:t>"</w:t>
            </w:r>
          </w:p>
          <w:p w14:paraId="4BA0D36B" w14:textId="77777777" w:rsidR="00B24E0A" w:rsidRPr="007424E0" w:rsidRDefault="00B24E0A" w:rsidP="004569ED">
            <w:pPr>
              <w:contextualSpacing/>
              <w:rPr>
                <w:rFonts w:ascii="Times New Roman" w:hAnsi="Times New Roman" w:cs="Times New Roman"/>
                <w:sz w:val="20"/>
                <w:szCs w:val="20"/>
              </w:rPr>
            </w:pPr>
          </w:p>
          <w:p w14:paraId="73DB8450" w14:textId="77777777" w:rsidR="00B24E0A" w:rsidRPr="007424E0" w:rsidRDefault="00B24E0A" w:rsidP="004569ED">
            <w:pPr>
              <w:contextualSpacing/>
              <w:rPr>
                <w:rFonts w:ascii="Times New Roman" w:hAnsi="Times New Roman" w:cs="Times New Roman"/>
                <w:sz w:val="20"/>
                <w:szCs w:val="20"/>
              </w:rPr>
            </w:pPr>
            <w:r w:rsidRPr="007424E0">
              <w:rPr>
                <w:rFonts w:ascii="Times New Roman" w:eastAsia="Calibri" w:hAnsi="Times New Roman" w:cs="Times New Roman"/>
                <w:color w:val="000000" w:themeColor="text1"/>
                <w:sz w:val="20"/>
                <w:szCs w:val="20"/>
              </w:rPr>
              <w:t>We have two different properties right next to each other. They are separated by parking lots. Would this disqualify it since they are contiguous parcels?</w:t>
            </w:r>
          </w:p>
          <w:p w14:paraId="476FE61A" w14:textId="77777777" w:rsidR="00B24E0A" w:rsidRPr="007424E0" w:rsidRDefault="00B24E0A" w:rsidP="004569ED">
            <w:pPr>
              <w:contextualSpacing/>
              <w:rPr>
                <w:rFonts w:ascii="Times New Roman" w:eastAsia="Times New Roman" w:hAnsi="Times New Roman" w:cs="Times New Roman"/>
                <w:color w:val="000000" w:themeColor="text1"/>
                <w:sz w:val="20"/>
                <w:szCs w:val="20"/>
              </w:rPr>
            </w:pPr>
          </w:p>
          <w:p w14:paraId="2ADB42CC" w14:textId="77777777" w:rsidR="00B24E0A" w:rsidRPr="007424E0" w:rsidRDefault="00B24E0A" w:rsidP="004569ED">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89E4D4C" w14:textId="77777777" w:rsidR="00B24E0A" w:rsidRPr="007424E0" w:rsidRDefault="00B24E0A" w:rsidP="004569ED">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purpose of subsection </w:t>
            </w:r>
            <w:r w:rsidRPr="007424E0">
              <w:rPr>
                <w:rFonts w:ascii="Times New Roman" w:hAnsi="Times New Roman" w:cs="Times New Roman"/>
                <w:b/>
                <w:bCs/>
                <w:sz w:val="20"/>
                <w:szCs w:val="20"/>
              </w:rPr>
              <w:t>A. Eligibility of Scattered Site</w:t>
            </w:r>
            <w:r w:rsidRPr="007424E0">
              <w:rPr>
                <w:rFonts w:ascii="Times New Roman" w:hAnsi="Times New Roman" w:cs="Times New Roman"/>
                <w:sz w:val="20"/>
                <w:szCs w:val="20"/>
              </w:rPr>
              <w:t xml:space="preserve"> is to list certain DCA requirements for developments that meet the federal (Section 42) requirements for “scattered site” projects. Where the QAP is silent or ambiguous, DCA does not have a requirement that differs from federal requirements. </w:t>
            </w:r>
          </w:p>
          <w:p w14:paraId="2C083780" w14:textId="77777777" w:rsidR="00B24E0A" w:rsidRPr="007424E0" w:rsidRDefault="00B24E0A" w:rsidP="004569ED">
            <w:pPr>
              <w:contextualSpacing/>
              <w:rPr>
                <w:rFonts w:ascii="Times New Roman" w:hAnsi="Times New Roman" w:cs="Times New Roman"/>
                <w:sz w:val="20"/>
                <w:szCs w:val="20"/>
              </w:rPr>
            </w:pPr>
          </w:p>
          <w:p w14:paraId="5245E9A3" w14:textId="77777777" w:rsidR="00B24E0A" w:rsidRPr="007424E0" w:rsidRDefault="00B24E0A" w:rsidP="004569ED">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This is such an instance. It is not a matter of whether the development is “disqualified” or not. The development either qualifies as scattered site per federal requirements and DCA requirements, or it does not, in which case the properties may be submitted as separate applications or one application that is not considered “scattered site.”</w:t>
            </w:r>
          </w:p>
        </w:tc>
      </w:tr>
      <w:tr w:rsidR="00B24E0A" w:rsidRPr="007424E0" w14:paraId="1C2A206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FD586B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0D9CCEC1"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1.14</w:t>
            </w:r>
          </w:p>
          <w:p w14:paraId="53B47A29"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4DBF4BA3"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3EC596C3"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3D359BEB" w14:textId="77777777" w:rsidR="00B24E0A" w:rsidRPr="006E1842" w:rsidRDefault="00B24E0A"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1012328764</w:t>
            </w:r>
            <w:r w:rsidRPr="006E1842">
              <w:rPr>
                <w:rFonts w:ascii="Times New Roman" w:eastAsia="Times New Roman" w:hAnsi="Times New Roman" w:cs="Times New Roman"/>
                <w:sz w:val="20"/>
                <w:szCs w:val="20"/>
              </w:rPr>
              <w:t> </w:t>
            </w:r>
            <w:r w:rsidRPr="006E1842">
              <w:rPr>
                <w:rFonts w:ascii="Times New Roman" w:eastAsia="Times New Roman" w:hAnsi="Times New Roman" w:cs="Times New Roman"/>
                <w:sz w:val="20"/>
                <w:szCs w:val="20"/>
              </w:rPr>
              <w:br/>
            </w:r>
            <w:r w:rsidRPr="006E1842">
              <w:rPr>
                <w:rFonts w:ascii="Times New Roman" w:eastAsia="Times New Roman" w:hAnsi="Times New Roman" w:cs="Times New Roman"/>
                <w:color w:val="000000"/>
                <w:sz w:val="20"/>
                <w:szCs w:val="20"/>
              </w:rPr>
              <w:t>If HUD does not approve rents for one property currently part of the proposed project, can we adjust the project after the Competitive Review submission by removing that property from the proposed project? </w:t>
            </w:r>
          </w:p>
          <w:p w14:paraId="4CAB617C" w14:textId="77777777" w:rsidR="00B24E0A" w:rsidRPr="006E1842" w:rsidRDefault="00B24E0A"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color w:val="000000"/>
                <w:sz w:val="20"/>
                <w:szCs w:val="20"/>
              </w:rPr>
              <w:t> </w:t>
            </w:r>
          </w:p>
          <w:p w14:paraId="65C7A717" w14:textId="77777777" w:rsidR="00B24E0A" w:rsidRPr="006E1842" w:rsidRDefault="00B24E0A"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Answer</w:t>
            </w:r>
            <w:r w:rsidRPr="006E1842">
              <w:rPr>
                <w:rFonts w:ascii="Times New Roman" w:eastAsia="Times New Roman" w:hAnsi="Times New Roman" w:cs="Times New Roman"/>
                <w:sz w:val="20"/>
                <w:szCs w:val="20"/>
              </w:rPr>
              <w:t>: </w:t>
            </w:r>
          </w:p>
          <w:p w14:paraId="3761FD6A" w14:textId="77777777" w:rsidR="00B24E0A" w:rsidRPr="006E1842" w:rsidRDefault="00B24E0A"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No, applicants cannot remove a property from the proposed development after the Competitive Review process.  </w:t>
            </w:r>
          </w:p>
          <w:p w14:paraId="4543A01A" w14:textId="77777777" w:rsidR="00B24E0A" w:rsidRPr="006E1842" w:rsidRDefault="00B24E0A" w:rsidP="006E184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sz w:val="20"/>
                <w:szCs w:val="20"/>
              </w:rPr>
              <w:t> </w:t>
            </w:r>
          </w:p>
          <w:p w14:paraId="4E61E20E" w14:textId="77777777" w:rsidR="00B24E0A" w:rsidRPr="007424E0" w:rsidRDefault="00B24E0A" w:rsidP="00911772">
            <w:pPr>
              <w:textAlignment w:val="baseline"/>
              <w:rPr>
                <w:rFonts w:ascii="Times New Roman" w:eastAsia="Times New Roman" w:hAnsi="Times New Roman" w:cs="Times New Roman"/>
                <w:sz w:val="20"/>
                <w:szCs w:val="20"/>
              </w:rPr>
            </w:pPr>
            <w:r w:rsidRPr="006E1842">
              <w:rPr>
                <w:rFonts w:ascii="Times New Roman" w:eastAsia="Times New Roman" w:hAnsi="Times New Roman" w:cs="Times New Roman"/>
                <w:b/>
                <w:bCs/>
                <w:sz w:val="20"/>
                <w:szCs w:val="20"/>
              </w:rPr>
              <w:t>(Core) Project Reconfiguration/Application Modification</w:t>
            </w:r>
            <w:r w:rsidRPr="006E1842">
              <w:rPr>
                <w:rFonts w:ascii="Times New Roman" w:eastAsia="Times New Roman" w:hAnsi="Times New Roman" w:cs="Times New Roman"/>
                <w:sz w:val="20"/>
                <w:szCs w:val="20"/>
              </w:rPr>
              <w:t xml:space="preserve"> states: </w:t>
            </w:r>
            <w:r w:rsidRPr="00C10F39">
              <w:rPr>
                <w:rFonts w:ascii="Times New Roman" w:eastAsia="Times New Roman" w:hAnsi="Times New Roman" w:cs="Times New Roman"/>
                <w:i/>
                <w:iCs/>
                <w:sz w:val="20"/>
                <w:szCs w:val="20"/>
              </w:rPr>
              <w:t>“Applicants cannot make any changes to a Submitted Application prior to the announcement of awards... Subsequent to awards, ...the number of units... cannot change.” </w:t>
            </w:r>
          </w:p>
        </w:tc>
      </w:tr>
      <w:tr w:rsidR="00B24E0A" w:rsidRPr="007424E0" w14:paraId="160B664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72A1026"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43BA3787"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3.08</w:t>
            </w:r>
          </w:p>
          <w:p w14:paraId="59F118F2"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156F321"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Revitalization/</w:t>
            </w:r>
          </w:p>
          <w:p w14:paraId="4FB9EC17"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Redevelopment Plans</w:t>
            </w:r>
          </w:p>
        </w:tc>
        <w:tc>
          <w:tcPr>
            <w:tcW w:w="9585" w:type="dxa"/>
            <w:shd w:val="clear" w:color="auto" w:fill="auto"/>
            <w:tcMar>
              <w:top w:w="72" w:type="dxa"/>
              <w:left w:w="115" w:type="dxa"/>
              <w:bottom w:w="72" w:type="dxa"/>
              <w:right w:w="115" w:type="dxa"/>
            </w:tcMar>
            <w:vAlign w:val="center"/>
          </w:tcPr>
          <w:p w14:paraId="2AA3038D" w14:textId="77777777" w:rsidR="00B24E0A" w:rsidRPr="007424E0" w:rsidRDefault="00B24E0A"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 xml:space="preserve">Question ID:  </w:t>
            </w:r>
            <w:r w:rsidRPr="00F252F8">
              <w:rPr>
                <w:rFonts w:ascii="Times New Roman" w:hAnsi="Times New Roman" w:cs="Times New Roman"/>
                <w:sz w:val="20"/>
                <w:szCs w:val="20"/>
              </w:rPr>
              <w:t>1014801182</w:t>
            </w:r>
          </w:p>
          <w:p w14:paraId="4ACBFFDB" w14:textId="77777777" w:rsidR="00B24E0A" w:rsidRPr="007424E0" w:rsidRDefault="00B24E0A" w:rsidP="00627584">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QAP states </w:t>
            </w:r>
            <w:r>
              <w:rPr>
                <w:rFonts w:ascii="Times New Roman" w:eastAsia="Times New Roman" w:hAnsi="Times New Roman" w:cs="Times New Roman"/>
                <w:color w:val="000000" w:themeColor="text1"/>
                <w:sz w:val="20"/>
                <w:szCs w:val="20"/>
              </w:rPr>
              <w:t xml:space="preserve">that </w:t>
            </w:r>
            <w:r w:rsidRPr="007424E0">
              <w:rPr>
                <w:rFonts w:ascii="Times New Roman" w:eastAsia="Times New Roman" w:hAnsi="Times New Roman" w:cs="Times New Roman"/>
                <w:color w:val="000000" w:themeColor="text1"/>
                <w:sz w:val="20"/>
                <w:szCs w:val="20"/>
              </w:rPr>
              <w:t>in order to receive a point if the Local Government demonstrates financial commitment to advancing the CRP in the form of funds raised, funds allocated, tax incentives, or local government fee waivers</w:t>
            </w:r>
            <w:r>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color w:val="000000" w:themeColor="text1"/>
                <w:sz w:val="20"/>
                <w:szCs w:val="20"/>
              </w:rPr>
              <w:t xml:space="preserve"> we need a letter from a Local Government representative substantiating the nature of the financial commitment to advance the CRP (if applicable). The plan mentions a Tax Allocation District multiple times and our site is in the TAD. We have a signed resolution for funding for the Tax Allocation District by the Chair of the local economic development agency for our proposed development and wanting to confirm if that will work for that specific point. The definition of the Local Government in the QAP is the entire City Council. We are just trying to determine exactly what DCA is looking for here because a letter from the entire City of Council will be hard to come by. A resolution of the Tax Allocation District signed by the entire City Council is also available.</w:t>
            </w:r>
          </w:p>
          <w:p w14:paraId="0F2340EA" w14:textId="77777777" w:rsidR="00B24E0A" w:rsidRPr="007424E0" w:rsidRDefault="00B24E0A" w:rsidP="00627584">
            <w:pPr>
              <w:contextualSpacing/>
              <w:rPr>
                <w:rFonts w:ascii="Times New Roman" w:eastAsia="Times New Roman" w:hAnsi="Times New Roman" w:cs="Times New Roman"/>
                <w:color w:val="000000" w:themeColor="text1"/>
                <w:sz w:val="20"/>
                <w:szCs w:val="20"/>
              </w:rPr>
            </w:pPr>
          </w:p>
          <w:p w14:paraId="567E0801" w14:textId="77777777" w:rsidR="00B24E0A" w:rsidRPr="007424E0" w:rsidRDefault="00B24E0A" w:rsidP="00627584">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3C05F4A4" w14:textId="77777777" w:rsidR="00B24E0A" w:rsidRPr="007424E0" w:rsidRDefault="00B24E0A" w:rsidP="00627584">
            <w:pPr>
              <w:contextualSpacing/>
              <w:rPr>
                <w:rFonts w:ascii="Times New Roman" w:hAnsi="Times New Roman" w:cs="Times New Roman"/>
                <w:i/>
                <w:iCs/>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(Scoring) Revitalization/Redevelopment Plans</w:t>
            </w:r>
            <w:r w:rsidRPr="007424E0">
              <w:rPr>
                <w:rFonts w:ascii="Times New Roman" w:hAnsi="Times New Roman" w:cs="Times New Roman"/>
                <w:sz w:val="20"/>
                <w:szCs w:val="20"/>
              </w:rPr>
              <w:t xml:space="preserve">, Applicants can score </w:t>
            </w:r>
            <w:r w:rsidRPr="007424E0">
              <w:rPr>
                <w:rFonts w:ascii="Times New Roman" w:hAnsi="Times New Roman" w:cs="Times New Roman"/>
                <w:i/>
                <w:iCs/>
                <w:sz w:val="20"/>
                <w:szCs w:val="20"/>
              </w:rPr>
              <w:t>“One (1) additional point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B. Third-Party Capital Investment.”</w:t>
            </w:r>
            <w:r w:rsidRPr="007424E0">
              <w:rPr>
                <w:rFonts w:ascii="Times New Roman" w:hAnsi="Times New Roman" w:cs="Times New Roman"/>
                <w:sz w:val="20"/>
                <w:szCs w:val="20"/>
              </w:rPr>
              <w:t xml:space="preserve"> The Minimum Documentation includes: </w:t>
            </w:r>
            <w:r w:rsidRPr="007424E0">
              <w:rPr>
                <w:rFonts w:ascii="Times New Roman" w:hAnsi="Times New Roman" w:cs="Times New Roman"/>
                <w:i/>
                <w:iCs/>
                <w:sz w:val="20"/>
                <w:szCs w:val="20"/>
              </w:rPr>
              <w:t xml:space="preserve">“A letter from </w:t>
            </w:r>
            <w:r w:rsidRPr="007424E0">
              <w:rPr>
                <w:rFonts w:ascii="Times New Roman" w:hAnsi="Times New Roman" w:cs="Times New Roman"/>
                <w:b/>
                <w:bCs/>
                <w:i/>
                <w:iCs/>
                <w:sz w:val="20"/>
                <w:szCs w:val="20"/>
              </w:rPr>
              <w:t>a Local Government representative</w:t>
            </w:r>
            <w:r w:rsidRPr="007424E0">
              <w:rPr>
                <w:rFonts w:ascii="Times New Roman" w:hAnsi="Times New Roman" w:cs="Times New Roman"/>
                <w:i/>
                <w:iCs/>
                <w:sz w:val="20"/>
                <w:szCs w:val="20"/>
              </w:rPr>
              <w:t xml:space="preserve"> substantiating the nature of the financial commitment to advance the CRP (if applicable).”</w:t>
            </w:r>
          </w:p>
          <w:p w14:paraId="4B870F18" w14:textId="77777777" w:rsidR="00B24E0A" w:rsidRPr="007424E0" w:rsidRDefault="00B24E0A" w:rsidP="00627584">
            <w:pPr>
              <w:rPr>
                <w:rFonts w:ascii="Times New Roman" w:hAnsi="Times New Roman" w:cs="Times New Roman"/>
                <w:sz w:val="20"/>
                <w:szCs w:val="20"/>
              </w:rPr>
            </w:pPr>
          </w:p>
          <w:p w14:paraId="175AEB8E" w14:textId="77777777" w:rsidR="00B24E0A" w:rsidRPr="007424E0" w:rsidRDefault="00B24E0A" w:rsidP="00627584">
            <w:pPr>
              <w:rPr>
                <w:rFonts w:ascii="Times New Roman" w:hAnsi="Times New Roman" w:cs="Times New Roman"/>
                <w:sz w:val="20"/>
                <w:szCs w:val="20"/>
              </w:rPr>
            </w:pPr>
            <w:r w:rsidRPr="007424E0">
              <w:rPr>
                <w:rFonts w:ascii="Times New Roman" w:hAnsi="Times New Roman" w:cs="Times New Roman"/>
                <w:sz w:val="20"/>
                <w:szCs w:val="20"/>
              </w:rPr>
              <w:t xml:space="preserve">The QAP requires a letter from </w:t>
            </w:r>
            <w:r w:rsidRPr="007424E0">
              <w:rPr>
                <w:rFonts w:ascii="Times New Roman" w:hAnsi="Times New Roman" w:cs="Times New Roman"/>
                <w:b/>
                <w:bCs/>
                <w:sz w:val="20"/>
                <w:szCs w:val="20"/>
              </w:rPr>
              <w:t>a representative</w:t>
            </w:r>
            <w:r w:rsidRPr="007424E0">
              <w:rPr>
                <w:rFonts w:ascii="Times New Roman" w:hAnsi="Times New Roman" w:cs="Times New Roman"/>
                <w:sz w:val="20"/>
                <w:szCs w:val="20"/>
              </w:rPr>
              <w:t xml:space="preserve"> of the Local Government, not the entire Local Government. “Local Government” is defined in </w:t>
            </w:r>
            <w:r w:rsidRPr="007424E0">
              <w:rPr>
                <w:rFonts w:ascii="Times New Roman" w:hAnsi="Times New Roman" w:cs="Times New Roman"/>
                <w:b/>
                <w:bCs/>
                <w:sz w:val="20"/>
                <w:szCs w:val="20"/>
              </w:rPr>
              <w:t>(Core) Definitions</w:t>
            </w:r>
            <w:r w:rsidRPr="007424E0">
              <w:rPr>
                <w:rFonts w:ascii="Times New Roman" w:hAnsi="Times New Roman" w:cs="Times New Roman"/>
                <w:sz w:val="20"/>
                <w:szCs w:val="20"/>
              </w:rPr>
              <w:t xml:space="preserve"> as: </w:t>
            </w:r>
            <w:r w:rsidRPr="007424E0">
              <w:rPr>
                <w:rFonts w:ascii="Times New Roman" w:hAnsi="Times New Roman" w:cs="Times New Roman"/>
                <w:i/>
                <w:iCs/>
                <w:sz w:val="20"/>
                <w:szCs w:val="20"/>
              </w:rPr>
              <w:t xml:space="preserve">“the controlling body of the local jurisdiction (as defined in its Charter) in which the property is located at the time of Application (e.g., city council if within the city limits, or county commission if in an unincorporated area).” </w:t>
            </w:r>
            <w:r w:rsidRPr="007424E0">
              <w:rPr>
                <w:rFonts w:ascii="Times New Roman" w:hAnsi="Times New Roman" w:cs="Times New Roman"/>
                <w:sz w:val="20"/>
                <w:szCs w:val="20"/>
              </w:rPr>
              <w:t xml:space="preserve">If an Applicant is unable to obtain the listed minimum document, per </w:t>
            </w:r>
            <w:r w:rsidRPr="007424E0">
              <w:rPr>
                <w:rFonts w:ascii="Times New Roman" w:hAnsi="Times New Roman" w:cs="Times New Roman"/>
                <w:b/>
                <w:bCs/>
                <w:sz w:val="20"/>
                <w:szCs w:val="20"/>
              </w:rPr>
              <w:t>(Scoring) Documentation and Justifications</w:t>
            </w:r>
            <w:r w:rsidRPr="007424E0">
              <w:rPr>
                <w:rFonts w:ascii="Times New Roman" w:hAnsi="Times New Roman" w:cs="Times New Roman"/>
                <w:sz w:val="20"/>
                <w:szCs w:val="20"/>
              </w:rPr>
              <w:t>, “</w:t>
            </w:r>
            <w:r w:rsidRPr="004078B5">
              <w:rPr>
                <w:rFonts w:ascii="Times New Roman" w:hAnsi="Times New Roman" w:cs="Times New Roman"/>
                <w:i/>
                <w:iCs/>
                <w:sz w:val="20"/>
                <w:szCs w:val="20"/>
              </w:rPr>
              <w:t>Applications must explain any alternate document to a minimum document.”</w:t>
            </w:r>
          </w:p>
        </w:tc>
      </w:tr>
      <w:tr w:rsidR="00B24E0A" w:rsidRPr="007424E0" w14:paraId="7EC8DFD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E5F7467"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3F017F9D"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3.27</w:t>
            </w:r>
          </w:p>
          <w:p w14:paraId="37898EF7"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33E66E8"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7BFEAF90" w14:textId="77777777" w:rsidR="00B24E0A" w:rsidRPr="00C15443" w:rsidRDefault="00B24E0A"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 xml:space="preserve">Question ID: </w:t>
            </w:r>
            <w:r w:rsidRPr="00C15443">
              <w:rPr>
                <w:rFonts w:ascii="Times New Roman" w:eastAsia="Times New Roman" w:hAnsi="Times New Roman" w:cs="Times New Roman"/>
                <w:color w:val="000000"/>
                <w:sz w:val="20"/>
                <w:szCs w:val="20"/>
              </w:rPr>
              <w:t>1003638309 </w:t>
            </w:r>
          </w:p>
          <w:p w14:paraId="74A22CFB" w14:textId="77777777" w:rsidR="00B24E0A" w:rsidRPr="00C15443" w:rsidRDefault="00B24E0A"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color w:val="000000"/>
                <w:sz w:val="20"/>
                <w:szCs w:val="20"/>
              </w:rPr>
              <w:t>Do NSP units count as federally-funded PBRA? </w:t>
            </w:r>
            <w:r w:rsidRPr="00C15443">
              <w:rPr>
                <w:rFonts w:ascii="Times New Roman" w:eastAsia="Times New Roman" w:hAnsi="Times New Roman" w:cs="Times New Roman"/>
                <w:color w:val="000000"/>
                <w:sz w:val="20"/>
                <w:szCs w:val="20"/>
              </w:rPr>
              <w:br/>
              <w:t> </w:t>
            </w:r>
          </w:p>
          <w:p w14:paraId="0CA49B30" w14:textId="77777777" w:rsidR="00B24E0A" w:rsidRPr="00C15443" w:rsidRDefault="00B24E0A" w:rsidP="00C15443">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b/>
                <w:bCs/>
                <w:sz w:val="20"/>
                <w:szCs w:val="20"/>
              </w:rPr>
              <w:t>Answer</w:t>
            </w:r>
            <w:r w:rsidRPr="00C15443">
              <w:rPr>
                <w:rFonts w:ascii="Times New Roman" w:eastAsia="Times New Roman" w:hAnsi="Times New Roman" w:cs="Times New Roman"/>
                <w:sz w:val="20"/>
                <w:szCs w:val="20"/>
              </w:rPr>
              <w:t>:  </w:t>
            </w:r>
          </w:p>
          <w:p w14:paraId="21E2399C" w14:textId="77777777" w:rsidR="00B24E0A" w:rsidRPr="007424E0" w:rsidRDefault="00B24E0A" w:rsidP="00911772">
            <w:pPr>
              <w:textAlignment w:val="baseline"/>
              <w:rPr>
                <w:rFonts w:ascii="Times New Roman" w:eastAsia="Times New Roman" w:hAnsi="Times New Roman" w:cs="Times New Roman"/>
                <w:sz w:val="20"/>
                <w:szCs w:val="20"/>
              </w:rPr>
            </w:pPr>
            <w:r w:rsidRPr="00C15443">
              <w:rPr>
                <w:rFonts w:ascii="Times New Roman" w:eastAsia="Times New Roman" w:hAnsi="Times New Roman" w:cs="Times New Roman"/>
                <w:sz w:val="20"/>
                <w:szCs w:val="20"/>
              </w:rPr>
              <w:t>The Neighborhood Stabilization Program results in rent- and income-restricted units. This is not considered to be project-based rental assistance. In PBRA units, resident out-of-pocket rent expenses are based on their income, ensuring they are not rent burdened according to a threshold established by the PBRA provider.  </w:t>
            </w:r>
          </w:p>
        </w:tc>
      </w:tr>
      <w:tr w:rsidR="00B24E0A" w:rsidRPr="007424E0" w14:paraId="1ECEB62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B40814A"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9/29/22</w:t>
            </w:r>
          </w:p>
        </w:tc>
        <w:tc>
          <w:tcPr>
            <w:tcW w:w="2663" w:type="dxa"/>
            <w:shd w:val="clear" w:color="auto" w:fill="auto"/>
            <w:tcMar>
              <w:top w:w="72" w:type="dxa"/>
              <w:left w:w="115" w:type="dxa"/>
              <w:bottom w:w="72" w:type="dxa"/>
              <w:right w:w="115" w:type="dxa"/>
            </w:tcMar>
            <w:vAlign w:val="center"/>
          </w:tcPr>
          <w:p w14:paraId="74ACDEA7"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26E6A6BA"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7997035C"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1015343000 </w:t>
            </w:r>
          </w:p>
          <w:p w14:paraId="3168DFCD"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I believe this was discussed at the workshop, but I wanted to ask whether DCA can provide written clarity about its target timeline for making decisions on the competitive 4% submissions/issuing consent notices. Was "early 2023" the timeframe for this? Thank you very much for considering. </w:t>
            </w:r>
          </w:p>
          <w:p w14:paraId="1F5E8D39"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color w:val="000000"/>
                <w:sz w:val="20"/>
                <w:szCs w:val="20"/>
              </w:rPr>
              <w:t> </w:t>
            </w:r>
          </w:p>
          <w:p w14:paraId="095C7DB5"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b/>
                <w:bCs/>
                <w:sz w:val="20"/>
                <w:szCs w:val="20"/>
              </w:rPr>
              <w:t>Answer</w:t>
            </w:r>
            <w:r w:rsidRPr="00186B29">
              <w:rPr>
                <w:rFonts w:ascii="Times New Roman" w:eastAsia="Times New Roman" w:hAnsi="Times New Roman" w:cs="Times New Roman"/>
                <w:sz w:val="20"/>
                <w:szCs w:val="20"/>
              </w:rPr>
              <w:t>:  </w:t>
            </w:r>
          </w:p>
          <w:p w14:paraId="3C4F2C7F"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Please see the below anticipated timeline from p. 15 of the Workshop slides published to the 4% HTC/Bonds Competitive Rounds page of the DCA website (</w:t>
            </w:r>
            <w:hyperlink r:id="rId18" w:tgtFrame="_blank" w:history="1">
              <w:r w:rsidRPr="00186B29">
                <w:rPr>
                  <w:rFonts w:ascii="Times New Roman" w:eastAsia="Times New Roman" w:hAnsi="Times New Roman" w:cs="Times New Roman"/>
                  <w:color w:val="0563C1"/>
                  <w:sz w:val="20"/>
                  <w:szCs w:val="20"/>
                  <w:u w:val="single"/>
                </w:rPr>
                <w:t>click here</w:t>
              </w:r>
            </w:hyperlink>
            <w:r w:rsidRPr="00186B29">
              <w:rPr>
                <w:rFonts w:ascii="Times New Roman" w:eastAsia="Times New Roman" w:hAnsi="Times New Roman" w:cs="Times New Roman"/>
                <w:sz w:val="20"/>
                <w:szCs w:val="20"/>
              </w:rPr>
              <w:t>). </w:t>
            </w:r>
          </w:p>
          <w:p w14:paraId="446AD044" w14:textId="77777777" w:rsidR="00B24E0A" w:rsidRPr="00186B29" w:rsidRDefault="00B24E0A" w:rsidP="00186B29">
            <w:pPr>
              <w:textAlignment w:val="baseline"/>
              <w:rPr>
                <w:rFonts w:ascii="Times New Roman" w:eastAsia="Times New Roman" w:hAnsi="Times New Roman" w:cs="Times New Roman"/>
                <w:sz w:val="20"/>
                <w:szCs w:val="20"/>
              </w:rPr>
            </w:pPr>
            <w:r w:rsidRPr="00186B29">
              <w:rPr>
                <w:rFonts w:ascii="Times New Roman" w:eastAsia="Times New Roman" w:hAnsi="Times New Roman" w:cs="Times New Roman"/>
                <w:sz w:val="20"/>
                <w:szCs w:val="20"/>
              </w:rPr>
              <w:t> </w:t>
            </w:r>
          </w:p>
          <w:p w14:paraId="50C48928" w14:textId="77777777" w:rsidR="00B24E0A" w:rsidRPr="007424E0" w:rsidRDefault="00B24E0A" w:rsidP="00186B29">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noProof/>
                <w:sz w:val="20"/>
                <w:szCs w:val="20"/>
              </w:rPr>
              <w:drawing>
                <wp:inline distT="0" distB="0" distL="0" distR="0" wp14:anchorId="480E8813" wp14:editId="70872408">
                  <wp:extent cx="4688006" cy="2131306"/>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98556" cy="2136103"/>
                          </a:xfrm>
                          <a:prstGeom prst="rect">
                            <a:avLst/>
                          </a:prstGeom>
                          <a:noFill/>
                          <a:ln>
                            <a:noFill/>
                          </a:ln>
                        </pic:spPr>
                      </pic:pic>
                    </a:graphicData>
                  </a:graphic>
                </wp:inline>
              </w:drawing>
            </w:r>
          </w:p>
        </w:tc>
      </w:tr>
      <w:tr w:rsidR="00B24E0A" w:rsidRPr="007424E0" w14:paraId="278F18D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B2F8C6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6A292945"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1.05</w:t>
            </w:r>
          </w:p>
          <w:p w14:paraId="48213992"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3DAA7965"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Geographic Pools</w:t>
            </w:r>
          </w:p>
        </w:tc>
        <w:tc>
          <w:tcPr>
            <w:tcW w:w="9585" w:type="dxa"/>
            <w:shd w:val="clear" w:color="auto" w:fill="auto"/>
            <w:tcMar>
              <w:top w:w="72" w:type="dxa"/>
              <w:left w:w="115" w:type="dxa"/>
              <w:bottom w:w="72" w:type="dxa"/>
              <w:right w:w="115" w:type="dxa"/>
            </w:tcMar>
            <w:vAlign w:val="center"/>
          </w:tcPr>
          <w:p w14:paraId="4FFFEBFC" w14:textId="77777777" w:rsidR="00B24E0A" w:rsidRPr="007424E0" w:rsidRDefault="00B24E0A"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F252F8">
              <w:rPr>
                <w:rFonts w:ascii="Times New Roman" w:eastAsia="Times New Roman" w:hAnsi="Times New Roman" w:cs="Times New Roman"/>
                <w:sz w:val="20"/>
                <w:szCs w:val="20"/>
              </w:rPr>
              <w:t>1013349343 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Will rural deals vs. metro deals be in the same pool? For instance, a rural deal can get two points for having on call bus transportation. A metro deal has to be within a certain distance of a bus stop. Will rural/metro deals be in the same pool for scoring purposes? </w:t>
            </w:r>
          </w:p>
          <w:p w14:paraId="280D09A6" w14:textId="77777777" w:rsidR="00B24E0A" w:rsidRPr="007424E0" w:rsidRDefault="00B24E0A"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737FCC0" w14:textId="77777777" w:rsidR="00B24E0A" w:rsidRPr="007424E0" w:rsidRDefault="00B24E0A"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9E80440" w14:textId="77777777" w:rsidR="00B24E0A" w:rsidRPr="007424E0" w:rsidRDefault="00B24E0A" w:rsidP="00911772">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rural and metro deals will be in the same pool for scoring purposes. </w:t>
            </w:r>
          </w:p>
          <w:p w14:paraId="34F7F56D" w14:textId="77777777" w:rsidR="00B24E0A" w:rsidRPr="007424E0" w:rsidRDefault="00B24E0A" w:rsidP="00690A7E">
            <w:pPr>
              <w:textAlignment w:val="baseline"/>
              <w:rPr>
                <w:rFonts w:ascii="Times New Roman" w:hAnsi="Times New Roman" w:cs="Times New Roman"/>
                <w:b/>
                <w:bCs/>
                <w:sz w:val="20"/>
                <w:szCs w:val="20"/>
              </w:rPr>
            </w:pPr>
          </w:p>
        </w:tc>
      </w:tr>
      <w:tr w:rsidR="00B24E0A" w:rsidRPr="007424E0" w14:paraId="0F648FA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7B89319"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3EEFF94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2.06</w:t>
            </w:r>
          </w:p>
          <w:p w14:paraId="1739FDE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26CEE8E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6AC9B929"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1010137424 </w:t>
            </w:r>
          </w:p>
          <w:p w14:paraId="57D15287"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submitting an application for 4% tax credits in October. The vacant land is owned by our GP/development partner, and there will be a $650 total ground lease (i.e. there is no acquisition cost for the land or any identity of interest between buyer and seller because the land will not be sold.) We also will not be generating tax credits. Do we still need to provide an appraisal with our app even though it would serve none of the purposes mentioned in the QAP? </w:t>
            </w:r>
          </w:p>
          <w:p w14:paraId="1457EFF8"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C9DB84A"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9B3B565"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“An Application for tax credits for 4% bond financed developments must contain an appraisal commissioned by the lender or by a DCA-approved appraiser with an effective date of not more than 6 months earlier than the date of the Application, regardless of whether there is an Identity of Interest between the buyer and the seller.”</w:t>
            </w:r>
            <w:r w:rsidRPr="007424E0">
              <w:rPr>
                <w:rFonts w:ascii="Times New Roman" w:eastAsia="Times New Roman" w:hAnsi="Times New Roman" w:cs="Times New Roman"/>
                <w:sz w:val="20"/>
                <w:szCs w:val="20"/>
              </w:rPr>
              <w:t> </w:t>
            </w:r>
          </w:p>
          <w:p w14:paraId="1E42943F"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B3E0355" w14:textId="77777777" w:rsidR="00B24E0A" w:rsidRPr="007424E0" w:rsidRDefault="00B24E0A" w:rsidP="00CA6A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However, Appraisals is not applicable to the 4%/Bonds Competitive Round October 14 submission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If awarded through the Competitive Round, applicants must meet the requirements of Appraisals with full application. </w:t>
            </w:r>
          </w:p>
          <w:p w14:paraId="1512DAE7" w14:textId="77777777" w:rsidR="00B24E0A" w:rsidRPr="007424E0" w:rsidRDefault="00B24E0A" w:rsidP="003479E0">
            <w:pPr>
              <w:textAlignment w:val="baseline"/>
              <w:rPr>
                <w:rFonts w:ascii="Times New Roman" w:eastAsia="Times New Roman" w:hAnsi="Times New Roman" w:cs="Times New Roman"/>
                <w:b/>
                <w:bCs/>
                <w:sz w:val="20"/>
                <w:szCs w:val="20"/>
              </w:rPr>
            </w:pPr>
          </w:p>
        </w:tc>
      </w:tr>
      <w:tr w:rsidR="00B24E0A" w:rsidRPr="007424E0" w14:paraId="161C3E3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FE8F628"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47381E3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4EED15D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86B2FA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4310A22A" w14:textId="77777777" w:rsidR="00B24E0A" w:rsidRPr="007424E0" w:rsidRDefault="00B24E0A"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1012028005_1 </w:t>
            </w:r>
          </w:p>
          <w:p w14:paraId="702A0696" w14:textId="77777777" w:rsidR="00B24E0A" w:rsidRPr="007424E0" w:rsidRDefault="00B24E0A"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In </w:t>
            </w:r>
            <w:r w:rsidRPr="007424E0">
              <w:rPr>
                <w:rFonts w:ascii="Times New Roman" w:eastAsia="Times New Roman" w:hAnsi="Times New Roman" w:cs="Times New Roman"/>
                <w:b/>
                <w:bCs/>
                <w:color w:val="000000"/>
                <w:sz w:val="20"/>
                <w:szCs w:val="20"/>
              </w:rPr>
              <w:t>(Threshold Criteria) Site Zoning,</w:t>
            </w:r>
            <w:r w:rsidRPr="007424E0">
              <w:rPr>
                <w:rFonts w:ascii="Times New Roman" w:eastAsia="Times New Roman" w:hAnsi="Times New Roman" w:cs="Times New Roman"/>
                <w:color w:val="000000"/>
                <w:sz w:val="20"/>
                <w:szCs w:val="20"/>
              </w:rPr>
              <w:t xml:space="preserve"> under minimum documentation the QAP states </w:t>
            </w:r>
            <w:r w:rsidRPr="007424E0">
              <w:rPr>
                <w:rFonts w:ascii="Times New Roman" w:eastAsia="Times New Roman" w:hAnsi="Times New Roman" w:cs="Times New Roman"/>
                <w:i/>
                <w:iCs/>
                <w:color w:val="000000"/>
                <w:sz w:val="20"/>
                <w:szCs w:val="20"/>
              </w:rPr>
              <w:t>"Letter from Local Government official which includes project name, address, or parcel ID and confirms zoning"</w:t>
            </w:r>
            <w:r w:rsidRPr="007424E0">
              <w:rPr>
                <w:rFonts w:ascii="Times New Roman" w:eastAsia="Times New Roman" w:hAnsi="Times New Roman" w:cs="Times New Roman"/>
                <w:color w:val="000000"/>
                <w:sz w:val="20"/>
                <w:szCs w:val="20"/>
              </w:rPr>
              <w:t>. Can DCA confirm that if the project name is not on the zoning letter but the address is that the zoning letter will pass threshold? Is the project name required for the zoning letter? </w:t>
            </w:r>
          </w:p>
          <w:p w14:paraId="174BA6D3" w14:textId="77777777" w:rsidR="00B24E0A" w:rsidRPr="007424E0" w:rsidRDefault="00B24E0A"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C4BA9B8" w14:textId="77777777" w:rsidR="00B24E0A" w:rsidRPr="007424E0" w:rsidRDefault="00B24E0A"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DBAD31C" w14:textId="77777777" w:rsidR="00B24E0A" w:rsidRPr="007424E0" w:rsidRDefault="00B24E0A" w:rsidP="003479E0">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2022 QAP, (Threshold Criteria) Site Zoning), the minimum documentation requires a </w:t>
            </w:r>
            <w:r w:rsidRPr="007424E0">
              <w:rPr>
                <w:rFonts w:ascii="Times New Roman" w:eastAsia="Times New Roman" w:hAnsi="Times New Roman" w:cs="Times New Roman"/>
                <w:i/>
                <w:iCs/>
                <w:sz w:val="20"/>
                <w:szCs w:val="20"/>
              </w:rPr>
              <w:t xml:space="preserve">“Letter from Local Government official which includes </w:t>
            </w:r>
            <w:r w:rsidRPr="007424E0">
              <w:rPr>
                <w:rFonts w:ascii="Times New Roman" w:eastAsia="Times New Roman" w:hAnsi="Times New Roman" w:cs="Times New Roman"/>
                <w:b/>
                <w:bCs/>
                <w:i/>
                <w:iCs/>
                <w:sz w:val="20"/>
                <w:szCs w:val="20"/>
              </w:rPr>
              <w:t>project name</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address</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u w:val="single"/>
              </w:rPr>
              <w:t>or</w:t>
            </w:r>
            <w:r w:rsidRPr="007424E0">
              <w:rPr>
                <w:rFonts w:ascii="Times New Roman" w:eastAsia="Times New Roman" w:hAnsi="Times New Roman" w:cs="Times New Roman"/>
                <w:i/>
                <w:iCs/>
                <w:sz w:val="20"/>
                <w:szCs w:val="20"/>
              </w:rPr>
              <w:t xml:space="preserve"> </w:t>
            </w:r>
            <w:r w:rsidRPr="007424E0">
              <w:rPr>
                <w:rFonts w:ascii="Times New Roman" w:eastAsia="Times New Roman" w:hAnsi="Times New Roman" w:cs="Times New Roman"/>
                <w:b/>
                <w:bCs/>
                <w:i/>
                <w:iCs/>
                <w:sz w:val="20"/>
                <w:szCs w:val="20"/>
              </w:rPr>
              <w:t>parcel ID</w:t>
            </w:r>
            <w:r w:rsidRPr="007424E0">
              <w:rPr>
                <w:rFonts w:ascii="Times New Roman" w:eastAsia="Times New Roman" w:hAnsi="Times New Roman" w:cs="Times New Roman"/>
                <w:i/>
                <w:iCs/>
                <w:sz w:val="20"/>
                <w:szCs w:val="20"/>
              </w:rPr>
              <w:t xml:space="preserve"> and confirms zoning. Letter must be dated within six (6) months of Application Submission.”</w:t>
            </w:r>
            <w:r w:rsidRPr="007424E0">
              <w:rPr>
                <w:rFonts w:ascii="Times New Roman" w:eastAsia="Times New Roman" w:hAnsi="Times New Roman" w:cs="Times New Roman"/>
                <w:sz w:val="20"/>
                <w:szCs w:val="20"/>
              </w:rPr>
              <w:t> So as long as one of the above-mentioned identifying factors for the project is present, the zoning letter shall be sufficient. </w:t>
            </w:r>
          </w:p>
          <w:p w14:paraId="534195CA"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4ED214F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48AFFDF"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386E394"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2.20</w:t>
            </w:r>
          </w:p>
          <w:p w14:paraId="18D58F3E"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3E4F558"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11A5172D" w14:textId="77777777" w:rsidR="00B24E0A" w:rsidRPr="007424E0" w:rsidRDefault="00B24E0A"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Question ID: 1011983787</w:t>
            </w:r>
          </w:p>
          <w:p w14:paraId="0576C389" w14:textId="77777777" w:rsidR="00B24E0A" w:rsidRPr="007424E0" w:rsidRDefault="00B24E0A" w:rsidP="00232EDB">
            <w:pPr>
              <w:contextualSpacing/>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principal has over a 20% ownership interest in an entity in previous deals that isn’t the GP but does have control of the deal, does that suffice for the experience requirements? </w:t>
            </w:r>
          </w:p>
          <w:p w14:paraId="38381C5D" w14:textId="77777777" w:rsidR="00B24E0A" w:rsidRPr="007424E0" w:rsidRDefault="00B24E0A" w:rsidP="00232EDB">
            <w:pPr>
              <w:rPr>
                <w:rFonts w:ascii="Times New Roman" w:eastAsia="Times New Roman" w:hAnsi="Times New Roman" w:cs="Times New Roman"/>
                <w:color w:val="000000" w:themeColor="text1"/>
                <w:sz w:val="20"/>
                <w:szCs w:val="20"/>
              </w:rPr>
            </w:pPr>
          </w:p>
          <w:p w14:paraId="5BA4DB19" w14:textId="77777777" w:rsidR="00B24E0A" w:rsidRPr="007424E0" w:rsidRDefault="00B24E0A" w:rsidP="00232EDB">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E763A94" w14:textId="77777777" w:rsidR="00B24E0A" w:rsidRPr="007424E0" w:rsidRDefault="00B24E0A" w:rsidP="00232EDB">
            <w:pPr>
              <w:contextualSpacing/>
              <w:rPr>
                <w:rFonts w:ascii="Times New Roman" w:hAnsi="Times New Roman" w:cs="Times New Roman"/>
                <w:sz w:val="20"/>
                <w:szCs w:val="20"/>
              </w:rPr>
            </w:pPr>
            <w:r w:rsidRPr="007424E0">
              <w:rPr>
                <w:rFonts w:ascii="Times New Roman" w:hAnsi="Times New Roman" w:cs="Times New Roman"/>
                <w:sz w:val="20"/>
                <w:szCs w:val="20"/>
              </w:rPr>
              <w:t xml:space="preserve">Per </w:t>
            </w:r>
            <w:r w:rsidRPr="007424E0">
              <w:rPr>
                <w:rFonts w:ascii="Times New Roman" w:hAnsi="Times New Roman" w:cs="Times New Roman"/>
                <w:b/>
                <w:bCs/>
                <w:sz w:val="20"/>
                <w:szCs w:val="20"/>
              </w:rPr>
              <w:t>(Threshold) Experience, Capacity and Performance Requirements, C. Requirements for Experience (Certifying Entity):</w:t>
            </w:r>
          </w:p>
          <w:p w14:paraId="78B21A33" w14:textId="77777777" w:rsidR="00B24E0A" w:rsidRPr="007424E0" w:rsidRDefault="00B24E0A" w:rsidP="00232EDB">
            <w:pPr>
              <w:contextualSpacing/>
              <w:rPr>
                <w:rFonts w:ascii="Times New Roman" w:hAnsi="Times New Roman" w:cs="Times New Roman"/>
                <w:sz w:val="20"/>
                <w:szCs w:val="20"/>
              </w:rPr>
            </w:pPr>
          </w:p>
          <w:p w14:paraId="63A41FF2" w14:textId="77777777" w:rsidR="00B24E0A" w:rsidRPr="007424E0" w:rsidRDefault="00B24E0A" w:rsidP="00232EDB">
            <w:pPr>
              <w:ind w:left="720"/>
              <w:rPr>
                <w:rFonts w:ascii="Times New Roman" w:hAnsi="Times New Roman" w:cs="Times New Roman"/>
                <w:i/>
                <w:iCs/>
                <w:sz w:val="20"/>
                <w:szCs w:val="20"/>
              </w:rPr>
            </w:pPr>
            <w:r w:rsidRPr="007424E0">
              <w:rPr>
                <w:rFonts w:ascii="Times New Roman" w:hAnsi="Times New Roman" w:cs="Times New Roman"/>
                <w:i/>
                <w:iCs/>
                <w:sz w:val="20"/>
                <w:szCs w:val="20"/>
              </w:rPr>
              <w:t>“In order to be counted as a Successful Tax Credit Project, the following requirements must be met for each project claimed by a Certifying Entity:</w:t>
            </w:r>
          </w:p>
          <w:p w14:paraId="2A6A65DA" w14:textId="77777777" w:rsidR="00B24E0A" w:rsidRPr="007424E0" w:rsidRDefault="00B24E0A" w:rsidP="00232EDB">
            <w:pPr>
              <w:pStyle w:val="ListParagraph"/>
              <w:numPr>
                <w:ilvl w:val="0"/>
                <w:numId w:val="68"/>
              </w:numPr>
              <w:textAlignment w:val="baseline"/>
              <w:rPr>
                <w:rFonts w:ascii="Times New Roman" w:eastAsia="Times New Roman" w:hAnsi="Times New Roman" w:cs="Times New Roman"/>
                <w:b/>
                <w:bCs/>
                <w:sz w:val="20"/>
                <w:szCs w:val="20"/>
              </w:rPr>
            </w:pPr>
            <w:r w:rsidRPr="007424E0">
              <w:rPr>
                <w:rFonts w:ascii="Times New Roman" w:hAnsi="Times New Roman" w:cs="Times New Roman"/>
                <w:i/>
                <w:iCs/>
                <w:sz w:val="20"/>
                <w:szCs w:val="20"/>
              </w:rPr>
              <w:t>The Certifying Entity must own a minimum 20% interest in the General Partner and Developer entities for each property claimed. The interest must be reflected in the syndicator letter and Partnership Agreement for the property.”</w:t>
            </w:r>
          </w:p>
        </w:tc>
      </w:tr>
      <w:tr w:rsidR="00B24E0A" w:rsidRPr="007424E0" w14:paraId="134F0AE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C7C21F9"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1303528"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6174285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403D0965"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009E3579"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1012443352 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I have a question regarding the Performance Workbook Experience section requirements. I know that a Performance Workbook and all relevant documentation is required for the GP/Developer, but is a Performance Workbook also required for all other members of the development team (i.e.. attorneys, GC, Architects, Syndicators, Lenders, etc.)? </w:t>
            </w:r>
          </w:p>
          <w:p w14:paraId="507604E6"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AA6D042"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C905E13"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Experience, Capacity and Performance Requirements, I. Required Documents </w:t>
            </w:r>
            <w:r w:rsidRPr="007424E0">
              <w:rPr>
                <w:rFonts w:ascii="Times New Roman" w:eastAsia="Times New Roman" w:hAnsi="Times New Roman" w:cs="Times New Roman"/>
                <w:sz w:val="20"/>
                <w:szCs w:val="20"/>
              </w:rPr>
              <w:t>includes the following requirements for “all other Project Team members”: </w:t>
            </w:r>
          </w:p>
          <w:p w14:paraId="5975E088" w14:textId="77777777" w:rsidR="00B24E0A" w:rsidRPr="007424E0" w:rsidRDefault="00B24E0A"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“17. Performance Questionnaire.</w:t>
            </w:r>
            <w:r w:rsidRPr="007424E0">
              <w:rPr>
                <w:rFonts w:ascii="Times New Roman" w:eastAsia="Times New Roman" w:hAnsi="Times New Roman" w:cs="Times New Roman"/>
                <w:sz w:val="20"/>
                <w:szCs w:val="20"/>
              </w:rPr>
              <w:t> </w:t>
            </w:r>
          </w:p>
          <w:p w14:paraId="1A33B53F" w14:textId="77777777" w:rsidR="00B24E0A" w:rsidRPr="007424E0" w:rsidRDefault="00B24E0A"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18. DCA Compliance History Form...</w:t>
            </w:r>
            <w:r w:rsidRPr="007424E0">
              <w:rPr>
                <w:rFonts w:ascii="Times New Roman" w:eastAsia="Times New Roman" w:hAnsi="Times New Roman" w:cs="Times New Roman"/>
                <w:sz w:val="20"/>
                <w:szCs w:val="20"/>
              </w:rPr>
              <w:t> </w:t>
            </w:r>
          </w:p>
          <w:p w14:paraId="4CBD04AF" w14:textId="77777777" w:rsidR="00B24E0A" w:rsidRPr="007424E0" w:rsidRDefault="00B24E0A"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19. Performance Workbook Certification Letter.</w:t>
            </w:r>
            <w:r w:rsidRPr="007424E0">
              <w:rPr>
                <w:rFonts w:ascii="Times New Roman" w:eastAsia="Times New Roman" w:hAnsi="Times New Roman" w:cs="Times New Roman"/>
                <w:sz w:val="20"/>
                <w:szCs w:val="20"/>
              </w:rPr>
              <w:t> </w:t>
            </w:r>
          </w:p>
          <w:p w14:paraId="0A697C67" w14:textId="77777777" w:rsidR="00B24E0A" w:rsidRPr="007424E0" w:rsidRDefault="00B24E0A" w:rsidP="009F255E">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20. Credit &amp; Criminal Release form, if requested by DCA.”</w:t>
            </w:r>
            <w:r w:rsidRPr="007424E0">
              <w:rPr>
                <w:rFonts w:ascii="Times New Roman" w:eastAsia="Times New Roman" w:hAnsi="Times New Roman" w:cs="Times New Roman"/>
                <w:sz w:val="20"/>
                <w:szCs w:val="20"/>
              </w:rPr>
              <w:t> </w:t>
            </w:r>
          </w:p>
          <w:p w14:paraId="0BD63232"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350532D"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“Project Team” is defined in </w:t>
            </w:r>
            <w:r w:rsidRPr="007424E0">
              <w:rPr>
                <w:rFonts w:ascii="Times New Roman" w:eastAsia="Times New Roman" w:hAnsi="Times New Roman" w:cs="Times New Roman"/>
                <w:b/>
                <w:bCs/>
                <w:sz w:val="20"/>
                <w:szCs w:val="20"/>
              </w:rPr>
              <w:t xml:space="preserve">(Core) Definitions </w:t>
            </w:r>
            <w:r w:rsidRPr="007424E0">
              <w:rPr>
                <w:rFonts w:ascii="Times New Roman" w:eastAsia="Times New Roman" w:hAnsi="Times New Roman" w:cs="Times New Roman"/>
                <w:sz w:val="20"/>
                <w:szCs w:val="20"/>
              </w:rPr>
              <w:t>as</w:t>
            </w:r>
            <w:r w:rsidRPr="007424E0">
              <w:rPr>
                <w:rFonts w:ascii="Times New Roman" w:eastAsia="Times New Roman" w:hAnsi="Times New Roman" w:cs="Times New Roman"/>
                <w:i/>
                <w:iCs/>
                <w:sz w:val="20"/>
                <w:szCs w:val="20"/>
              </w:rPr>
              <w:t xml:space="preserve"> “General Partner, Developer, Consultant and the Principal(s) thereof for a proposed tax credit project. For purposes of project participant qualifications, consultants with less than 5% interest in the project are not considered members of the Project Team.”</w:t>
            </w:r>
            <w:r w:rsidRPr="007424E0">
              <w:rPr>
                <w:rFonts w:ascii="Times New Roman" w:eastAsia="Times New Roman" w:hAnsi="Times New Roman" w:cs="Times New Roman"/>
                <w:sz w:val="20"/>
                <w:szCs w:val="20"/>
              </w:rPr>
              <w:t> </w:t>
            </w:r>
          </w:p>
          <w:p w14:paraId="2B93A2DE"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9DBD6FE" w14:textId="77777777" w:rsidR="00B24E0A" w:rsidRPr="007424E0" w:rsidRDefault="00B24E0A" w:rsidP="009F255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Further, the Performance Workbook states that </w:t>
            </w:r>
            <w:r w:rsidRPr="007424E0">
              <w:rPr>
                <w:rFonts w:ascii="Times New Roman" w:eastAsia="Times New Roman" w:hAnsi="Times New Roman" w:cs="Times New Roman"/>
                <w:i/>
                <w:iCs/>
                <w:sz w:val="20"/>
                <w:szCs w:val="20"/>
              </w:rPr>
              <w:t>“any general partner, developer, consultant with more than 5% ownership interest, or principal must submit individual Performance Questionnaire, Compliance History Forms (All States and GA), and Performance Workbook Certification Letter.”</w:t>
            </w:r>
            <w:r w:rsidRPr="007424E0">
              <w:rPr>
                <w:rFonts w:ascii="Times New Roman" w:eastAsia="Times New Roman" w:hAnsi="Times New Roman" w:cs="Times New Roman"/>
                <w:sz w:val="20"/>
                <w:szCs w:val="20"/>
              </w:rPr>
              <w:t> </w:t>
            </w:r>
          </w:p>
          <w:p w14:paraId="61D3BEE4" w14:textId="77777777" w:rsidR="00B24E0A" w:rsidRPr="007424E0" w:rsidRDefault="00B24E0A" w:rsidP="003479E0">
            <w:pPr>
              <w:textAlignment w:val="baseline"/>
              <w:rPr>
                <w:rFonts w:ascii="Times New Roman" w:eastAsia="Times New Roman" w:hAnsi="Times New Roman" w:cs="Times New Roman"/>
                <w:b/>
                <w:bCs/>
                <w:sz w:val="20"/>
                <w:szCs w:val="20"/>
              </w:rPr>
            </w:pPr>
          </w:p>
        </w:tc>
      </w:tr>
      <w:tr w:rsidR="00B24E0A" w:rsidRPr="007424E0" w14:paraId="2B41500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A61B367"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12C69C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4FE3F98C"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7E9577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4DCE11E7" w14:textId="77777777" w:rsidR="00B24E0A" w:rsidRPr="007424E0" w:rsidRDefault="00B24E0A"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shd w:val="clear" w:color="auto" w:fill="FFFFFF"/>
              </w:rPr>
              <w:t>1011983787_2 </w:t>
            </w:r>
            <w:r w:rsidRPr="007424E0">
              <w:rPr>
                <w:rFonts w:ascii="Times New Roman" w:eastAsia="Times New Roman" w:hAnsi="Times New Roman" w:cs="Times New Roman"/>
                <w:color w:val="000000"/>
                <w:sz w:val="20"/>
                <w:szCs w:val="20"/>
              </w:rPr>
              <w:t> </w:t>
            </w:r>
          </w:p>
          <w:p w14:paraId="7591AD72" w14:textId="77777777" w:rsidR="00B24E0A" w:rsidRPr="007424E0" w:rsidRDefault="00B24E0A"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What’s the minimum amount of projects for the compliance worksheet for a Developer that’s done over 100 LIHTC deals? </w:t>
            </w:r>
          </w:p>
          <w:p w14:paraId="70B7E925" w14:textId="77777777" w:rsidR="00B24E0A" w:rsidRPr="007424E0" w:rsidRDefault="00B24E0A"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A781EA9" w14:textId="77777777" w:rsidR="00B24E0A" w:rsidRPr="007424E0" w:rsidRDefault="00B24E0A"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D3D1ABA" w14:textId="77777777" w:rsidR="00B24E0A" w:rsidRPr="007424E0" w:rsidRDefault="00B24E0A" w:rsidP="00975FE1">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Per the Performance Workbook, Compliance History All States tab, “all Project Team Members/Entities must list all affordable housing properties located in all states in which an entity or principal has participated in the ownership and/or development.” Per the GA DCA Compliance History tab, “all Applicants must list all Georgia DCA Affordable properties on this tab.” </w:t>
            </w:r>
          </w:p>
          <w:p w14:paraId="3C372989" w14:textId="77777777" w:rsidR="00B24E0A" w:rsidRPr="007424E0" w:rsidRDefault="00B24E0A" w:rsidP="003479E0">
            <w:pPr>
              <w:textAlignment w:val="baseline"/>
              <w:rPr>
                <w:rFonts w:ascii="Times New Roman" w:eastAsia="Times New Roman" w:hAnsi="Times New Roman" w:cs="Times New Roman"/>
                <w:b/>
                <w:bCs/>
                <w:sz w:val="20"/>
                <w:szCs w:val="20"/>
              </w:rPr>
            </w:pPr>
          </w:p>
        </w:tc>
      </w:tr>
      <w:tr w:rsidR="00B24E0A" w:rsidRPr="007424E0" w14:paraId="089DE9F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3A8D00D"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E424794"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4FC0F63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38B1B8B4"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15079162"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sz w:val="20"/>
                <w:szCs w:val="20"/>
              </w:rPr>
              <w:t>996771741 </w:t>
            </w:r>
          </w:p>
          <w:p w14:paraId="5E6114B9"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status of non-residential tenant leases signed before site control in a Tax Credit only submission?  </w:t>
            </w:r>
          </w:p>
          <w:p w14:paraId="4D64D8EB"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0E295CD"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is the impact of those leases on the relocation aspects of the development?  </w:t>
            </w:r>
          </w:p>
          <w:p w14:paraId="7F99988F"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27EA3E7"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will the development team be responsible for, financially and otherwise? </w:t>
            </w:r>
            <w:r w:rsidRPr="007424E0">
              <w:rPr>
                <w:rFonts w:ascii="Times New Roman" w:eastAsia="Times New Roman" w:hAnsi="Times New Roman" w:cs="Times New Roman"/>
                <w:color w:val="000000"/>
                <w:sz w:val="20"/>
                <w:szCs w:val="20"/>
              </w:rPr>
              <w:br/>
              <w:t> </w:t>
            </w:r>
          </w:p>
          <w:p w14:paraId="0F62BBCC"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9CB43A5" w14:textId="77777777" w:rsidR="00B24E0A" w:rsidRPr="007424E0" w:rsidRDefault="00B24E0A" w:rsidP="007D0FBC">
            <w:pPr>
              <w:textAlignment w:val="baseline"/>
              <w:rPr>
                <w:rFonts w:ascii="Times New Roman" w:eastAsia="Times New Roman" w:hAnsi="Times New Roman" w:cs="Times New Roman"/>
                <w:color w:val="242424"/>
                <w:sz w:val="20"/>
                <w:szCs w:val="20"/>
              </w:rPr>
            </w:pPr>
            <w:r w:rsidRPr="007424E0">
              <w:rPr>
                <w:rFonts w:ascii="Times New Roman" w:eastAsia="Times New Roman" w:hAnsi="Times New Roman" w:cs="Times New Roman"/>
                <w:sz w:val="20"/>
                <w:szCs w:val="20"/>
              </w:rPr>
              <w:t xml:space="preserve">In every circumstance where a resident or non-residential tenant will be displaced (either temporarily or permanently) due to a DCA funded development being built and/or renovated, a relocation plan and budget must be included when the application’s relocation information is submitted to DCA. </w:t>
            </w:r>
            <w:r w:rsidRPr="007424E0">
              <w:rPr>
                <w:rFonts w:ascii="Times New Roman" w:eastAsia="Times New Roman" w:hAnsi="Times New Roman" w:cs="Times New Roman"/>
                <w:color w:val="242424"/>
                <w:sz w:val="20"/>
                <w:szCs w:val="20"/>
              </w:rPr>
              <w:t>Until otherwise noted, please continue to follow the 2022 QAP and 2022 Relocation Manual for guidance. </w:t>
            </w:r>
          </w:p>
          <w:p w14:paraId="65EEF62B" w14:textId="77777777" w:rsidR="00B24E0A" w:rsidRPr="007424E0" w:rsidRDefault="00B24E0A" w:rsidP="007D0FBC">
            <w:pPr>
              <w:textAlignment w:val="baseline"/>
              <w:rPr>
                <w:rFonts w:ascii="Times New Roman" w:eastAsia="Times New Roman" w:hAnsi="Times New Roman" w:cs="Times New Roman"/>
                <w:sz w:val="20"/>
                <w:szCs w:val="20"/>
              </w:rPr>
            </w:pPr>
          </w:p>
          <w:p w14:paraId="1B66B8AC"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 xml:space="preserve">As it is stated in the 2022 QAP - </w:t>
            </w:r>
            <w:r w:rsidRPr="007424E0">
              <w:rPr>
                <w:rFonts w:ascii="Times New Roman" w:eastAsia="Times New Roman" w:hAnsi="Times New Roman" w:cs="Times New Roman"/>
                <w:i/>
                <w:iCs/>
                <w:color w:val="242424"/>
                <w:sz w:val="20"/>
                <w:szCs w:val="20"/>
              </w:rPr>
              <w:t xml:space="preserve">“In the event condemnation proceedings are pending against a proposed project, </w:t>
            </w:r>
            <w:r w:rsidRPr="007424E0">
              <w:rPr>
                <w:rFonts w:ascii="Times New Roman" w:eastAsia="Times New Roman" w:hAnsi="Times New Roman" w:cs="Times New Roman"/>
                <w:b/>
                <w:bCs/>
                <w:i/>
                <w:iCs/>
                <w:color w:val="242424"/>
                <w:sz w:val="20"/>
                <w:szCs w:val="20"/>
              </w:rPr>
              <w:t>DCA’s relocation policies apply to all residents and non-residential tenants residing at the property at the earlier of Application Submission or HOME consent request, if applicable</w:t>
            </w:r>
            <w:r w:rsidRPr="007424E0">
              <w:rPr>
                <w:rFonts w:ascii="Times New Roman" w:eastAsia="Times New Roman" w:hAnsi="Times New Roman" w:cs="Times New Roman"/>
                <w:i/>
                <w:iCs/>
                <w:color w:val="242424"/>
                <w:sz w:val="20"/>
                <w:szCs w:val="20"/>
              </w:rPr>
              <w:t>.</w:t>
            </w:r>
            <w:r w:rsidRPr="007424E0">
              <w:rPr>
                <w:rFonts w:ascii="Times New Roman" w:eastAsia="Times New Roman" w:hAnsi="Times New Roman" w:cs="Times New Roman"/>
                <w:i/>
                <w:iCs/>
                <w:sz w:val="20"/>
                <w:szCs w:val="20"/>
              </w:rPr>
              <w:t>”</w:t>
            </w:r>
            <w:r w:rsidRPr="007424E0">
              <w:rPr>
                <w:rFonts w:ascii="Times New Roman" w:eastAsia="Times New Roman" w:hAnsi="Times New Roman" w:cs="Times New Roman"/>
                <w:sz w:val="20"/>
                <w:szCs w:val="20"/>
              </w:rPr>
              <w:t> </w:t>
            </w:r>
          </w:p>
          <w:p w14:paraId="4EC76B49" w14:textId="77777777" w:rsidR="00B24E0A" w:rsidRPr="007424E0" w:rsidRDefault="00B24E0A" w:rsidP="007D0FBC">
            <w:pPr>
              <w:textAlignment w:val="baseline"/>
              <w:rPr>
                <w:rFonts w:ascii="Times New Roman" w:eastAsia="Times New Roman" w:hAnsi="Times New Roman" w:cs="Times New Roman"/>
                <w:sz w:val="20"/>
                <w:szCs w:val="20"/>
              </w:rPr>
            </w:pPr>
          </w:p>
          <w:p w14:paraId="536BB053" w14:textId="77777777" w:rsidR="00B24E0A" w:rsidRPr="007424E0" w:rsidRDefault="00B24E0A" w:rsidP="007D0FB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rPr>
              <w:t>Please note, applications with federal funding are subject to URA provisions. All other applications with non-federal funding are subject to DCA’s relocation requirements alone. </w:t>
            </w:r>
          </w:p>
          <w:p w14:paraId="65585411"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501A8DB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D248D41"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6E4BD41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6E159D7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4E4720A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9BD27C0" w14:textId="77777777" w:rsidR="00B24E0A" w:rsidRPr="007424E0" w:rsidRDefault="00B24E0A"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1011391495 </w:t>
            </w:r>
          </w:p>
          <w:p w14:paraId="08AAAC3F" w14:textId="77777777" w:rsidR="00B24E0A" w:rsidRPr="007424E0" w:rsidRDefault="00B24E0A"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entering data into the provided Excel Sheet for Desirable/Undesirable and the Core Application I am receiving "#######" feedback from excel on some of the cells. The affected cells are longitude data cells in the Desirable/Undesirable and a few miscellaneous date cells in the core app. When I print to PDF the data shows up. I </w:t>
            </w:r>
            <w:proofErr w:type="spellStart"/>
            <w:r w:rsidRPr="007424E0">
              <w:rPr>
                <w:rFonts w:ascii="Times New Roman" w:eastAsia="Times New Roman" w:hAnsi="Times New Roman" w:cs="Times New Roman"/>
                <w:color w:val="000000"/>
                <w:sz w:val="20"/>
                <w:szCs w:val="20"/>
              </w:rPr>
              <w:t>can not</w:t>
            </w:r>
            <w:proofErr w:type="spellEnd"/>
            <w:r w:rsidRPr="007424E0">
              <w:rPr>
                <w:rFonts w:ascii="Times New Roman" w:eastAsia="Times New Roman" w:hAnsi="Times New Roman" w:cs="Times New Roman"/>
                <w:color w:val="000000"/>
                <w:sz w:val="20"/>
                <w:szCs w:val="20"/>
              </w:rPr>
              <w:t xml:space="preserve"> edit the Excel sheets because they are locked. The data I entered can be found at the top of the excel sheet when the "#####" cells are selected. I just want to make sure we will not lose any points for this occurring in our excel sheet at submission. </w:t>
            </w:r>
          </w:p>
          <w:p w14:paraId="169EA8E8" w14:textId="77777777" w:rsidR="00B24E0A" w:rsidRPr="007424E0" w:rsidRDefault="00B24E0A"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FC292B6" w14:textId="77777777" w:rsidR="00B24E0A" w:rsidRPr="007424E0" w:rsidRDefault="00B24E0A"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683466E" w14:textId="77777777" w:rsidR="00B24E0A" w:rsidRPr="007424E0" w:rsidRDefault="00B24E0A" w:rsidP="00010D26">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cells display ###### when the excel cell width is not long enough to accommodate/display the number of characters; however, it doesn’t prevent the excel data input. The Latitude and Longitude columns in the Desirable/Undesirable Certification form have been widened to avoid this issue. The updated form named “2022DesirableUndesirableCertification_updated_9.23.22” has been posted on the DCA website. </w:t>
            </w:r>
          </w:p>
          <w:p w14:paraId="3531BC88"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18384A6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5BA827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F2AD2E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3.07</w:t>
            </w:r>
          </w:p>
          <w:p w14:paraId="28EB0945"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5BCF6C0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3F6FA806"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w:t>
            </w:r>
            <w:r w:rsidRPr="007424E0">
              <w:rPr>
                <w:rFonts w:ascii="Times New Roman" w:eastAsia="Times New Roman" w:hAnsi="Times New Roman" w:cs="Times New Roman"/>
                <w:sz w:val="20"/>
                <w:szCs w:val="20"/>
              </w:rPr>
              <w:t>1010569933 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color w:val="000000"/>
                <w:sz w:val="20"/>
                <w:szCs w:val="20"/>
              </w:rPr>
              <w:t xml:space="preserve">There are two new schools in our district. One of the schools is a new school K – 8, which opened in 2019 and has no data. The second school is a renovated school Pre K – 5, which has data from 2017 and no updated data. Per the QAP, </w:t>
            </w:r>
            <w:r w:rsidRPr="007424E0">
              <w:rPr>
                <w:rFonts w:ascii="Times New Roman" w:eastAsia="Times New Roman" w:hAnsi="Times New Roman" w:cs="Times New Roman"/>
                <w:i/>
                <w:iCs/>
                <w:color w:val="000000"/>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color w:val="000000"/>
                <w:sz w:val="20"/>
                <w:szCs w:val="20"/>
              </w:rPr>
              <w:t xml:space="preserve"> Please provide guidance how to utilize the district score to qualify for points in scoring options A through C. </w:t>
            </w:r>
          </w:p>
          <w:p w14:paraId="398DCE77"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0366E5F"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334DC66"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w:t>
            </w:r>
            <w:r w:rsidRPr="007424E0">
              <w:rPr>
                <w:rFonts w:ascii="Times New Roman" w:eastAsia="Times New Roman" w:hAnsi="Times New Roman" w:cs="Times New Roman"/>
                <w:i/>
                <w:iCs/>
                <w:sz w:val="20"/>
                <w:szCs w:val="20"/>
              </w:rPr>
              <w:t>“Some recently established schools do not have data for options A through C. For such schools, the Applicant may utilize scores of the applicable grade cluster for the school district.”</w:t>
            </w:r>
            <w:r w:rsidRPr="007424E0">
              <w:rPr>
                <w:rFonts w:ascii="Times New Roman" w:eastAsia="Times New Roman" w:hAnsi="Times New Roman" w:cs="Times New Roman"/>
                <w:sz w:val="20"/>
                <w:szCs w:val="20"/>
              </w:rPr>
              <w:t> </w:t>
            </w:r>
          </w:p>
          <w:p w14:paraId="6DF7FD22"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DB6F783"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Accordingly, for any applicable schools without data, district-wide average CCRPI scores may be used.  When searching the CCRPI website </w:t>
            </w:r>
            <w:hyperlink r:id="rId20" w:tgtFrame="_blank" w:history="1">
              <w:r w:rsidRPr="007424E0">
                <w:rPr>
                  <w:rFonts w:ascii="Times New Roman" w:eastAsia="Times New Roman" w:hAnsi="Times New Roman" w:cs="Times New Roman"/>
                  <w:color w:val="0563C1"/>
                  <w:sz w:val="20"/>
                  <w:szCs w:val="20"/>
                  <w:u w:val="single"/>
                </w:rPr>
                <w:t>GADOE CCRPI Reporting System</w:t>
              </w:r>
            </w:hyperlink>
            <w:r w:rsidRPr="007424E0">
              <w:rPr>
                <w:rFonts w:ascii="Times New Roman" w:eastAsia="Times New Roman" w:hAnsi="Times New Roman" w:cs="Times New Roman"/>
                <w:sz w:val="20"/>
                <w:szCs w:val="20"/>
              </w:rPr>
              <w:t>, search for the applicable county school district, and filter to the respective appropriate grade clusters (Elementary/Middle/High).   </w:t>
            </w:r>
          </w:p>
          <w:p w14:paraId="4F4247A9" w14:textId="77777777" w:rsidR="00B24E0A" w:rsidRPr="007424E0" w:rsidRDefault="00B24E0A" w:rsidP="00993734">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CC40DE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subsection A, if both 2018 and 2019 district-wide CCRPI averages are available, the 2-year average must be used; if only one year of district-wide averages are available, the 1-year average may be used. For subsection C, use the district-wide CCRPI data for average year-over-year change and average CCRPI score. </w:t>
            </w:r>
          </w:p>
          <w:p w14:paraId="4855A218" w14:textId="77777777" w:rsidR="00B24E0A" w:rsidRPr="007424E0" w:rsidRDefault="00B24E0A" w:rsidP="000F6D48">
            <w:pPr>
              <w:textAlignment w:val="baseline"/>
              <w:rPr>
                <w:rFonts w:ascii="Times New Roman" w:eastAsia="Times New Roman" w:hAnsi="Times New Roman" w:cs="Times New Roman"/>
                <w:sz w:val="20"/>
                <w:szCs w:val="20"/>
              </w:rPr>
            </w:pPr>
          </w:p>
        </w:tc>
      </w:tr>
      <w:tr w:rsidR="00B24E0A" w:rsidRPr="007424E0" w14:paraId="43D6527E"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28A7F5F"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6453D52" w14:textId="77777777" w:rsidR="00B24E0A" w:rsidRPr="007424E0" w:rsidRDefault="00B24E0A"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394E5C83" w14:textId="77777777" w:rsidR="00B24E0A" w:rsidRPr="007424E0" w:rsidRDefault="00B24E0A"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0E3FF2BF" w14:textId="77777777" w:rsidR="00B24E0A" w:rsidRPr="007424E0" w:rsidRDefault="00B24E0A"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p w14:paraId="4650451B" w14:textId="77777777" w:rsidR="00B24E0A" w:rsidRPr="007424E0" w:rsidRDefault="00B24E0A" w:rsidP="001B16E5">
            <w:pPr>
              <w:rPr>
                <w:rFonts w:ascii="Times New Roman" w:eastAsia="Times New Roman" w:hAnsi="Times New Roman" w:cs="Times New Roman"/>
                <w:sz w:val="20"/>
                <w:szCs w:val="20"/>
              </w:rPr>
            </w:pPr>
          </w:p>
          <w:p w14:paraId="1077EDBC" w14:textId="77777777" w:rsidR="00B24E0A" w:rsidRPr="007424E0" w:rsidRDefault="00B24E0A" w:rsidP="001B16E5">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(also 3.01 Documentation and Justifications)</w:t>
            </w:r>
          </w:p>
        </w:tc>
        <w:tc>
          <w:tcPr>
            <w:tcW w:w="9585" w:type="dxa"/>
            <w:shd w:val="clear" w:color="auto" w:fill="auto"/>
            <w:tcMar>
              <w:top w:w="72" w:type="dxa"/>
              <w:left w:w="115" w:type="dxa"/>
              <w:bottom w:w="72" w:type="dxa"/>
              <w:right w:w="115" w:type="dxa"/>
            </w:tcMar>
            <w:vAlign w:val="center"/>
          </w:tcPr>
          <w:p w14:paraId="63E7FF5D" w14:textId="77777777" w:rsidR="00B24E0A" w:rsidRPr="007424E0" w:rsidRDefault="00B24E0A"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1009483905 </w:t>
            </w:r>
          </w:p>
          <w:p w14:paraId="563C8A38" w14:textId="77777777" w:rsidR="00B24E0A" w:rsidRPr="007424E0" w:rsidRDefault="00B24E0A"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are working on a rehabilitation that was built in the early 1980's.  We have tried to obtain the Certificate of Occupancy from the City of each as it is not located at the property.  Is there another way that would be acceptable to DCA to prove occupancy prior to 2000? </w:t>
            </w:r>
          </w:p>
          <w:p w14:paraId="6B8F74B6" w14:textId="77777777" w:rsidR="00B24E0A" w:rsidRPr="007424E0" w:rsidRDefault="00B24E0A" w:rsidP="002C7DDA">
            <w:pPr>
              <w:textAlignment w:val="baseline"/>
              <w:rPr>
                <w:rFonts w:ascii="Times New Roman" w:eastAsia="Times New Roman" w:hAnsi="Times New Roman" w:cs="Times New Roman"/>
                <w:sz w:val="20"/>
                <w:szCs w:val="20"/>
              </w:rPr>
            </w:pPr>
          </w:p>
          <w:p w14:paraId="797D594F" w14:textId="77777777" w:rsidR="00B24E0A" w:rsidRPr="007424E0" w:rsidRDefault="00B24E0A"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8D81AD1" w14:textId="77777777" w:rsidR="00B24E0A" w:rsidRPr="007424E0" w:rsidRDefault="00B24E0A"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refer to </w:t>
            </w:r>
            <w:r w:rsidRPr="007424E0">
              <w:rPr>
                <w:rFonts w:ascii="Times New Roman" w:eastAsia="Times New Roman" w:hAnsi="Times New Roman" w:cs="Times New Roman"/>
                <w:b/>
                <w:bCs/>
                <w:sz w:val="20"/>
                <w:szCs w:val="20"/>
              </w:rPr>
              <w:t>Appendix II Scoring Criteria, I. Documentation and Justifications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A. Minimum Documentation</w:t>
            </w:r>
            <w:r w:rsidRPr="007424E0">
              <w:rPr>
                <w:rFonts w:ascii="Times New Roman" w:eastAsia="Times New Roman" w:hAnsi="Times New Roman" w:cs="Times New Roman"/>
                <w:sz w:val="20"/>
                <w:szCs w:val="20"/>
              </w:rPr>
              <w:t>:   </w:t>
            </w:r>
          </w:p>
          <w:p w14:paraId="7589AC26" w14:textId="77777777" w:rsidR="00B24E0A" w:rsidRPr="007424E0" w:rsidRDefault="00B24E0A"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“Applications without Minimum Documentation and any other documents necessary to determine the Application meets the subsection criteria will not be eligible for the points. Applications must explain any alternate document to a minimum document.”</w:t>
            </w:r>
            <w:r w:rsidRPr="007424E0">
              <w:rPr>
                <w:rFonts w:ascii="Times New Roman" w:eastAsia="Times New Roman" w:hAnsi="Times New Roman" w:cs="Times New Roman"/>
                <w:sz w:val="20"/>
                <w:szCs w:val="20"/>
              </w:rPr>
              <w:t> </w:t>
            </w:r>
          </w:p>
          <w:p w14:paraId="3D9E210B" w14:textId="77777777" w:rsidR="00B24E0A" w:rsidRPr="007424E0" w:rsidRDefault="00B24E0A" w:rsidP="002C7DDA">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6668AEB" w14:textId="77777777" w:rsidR="00B24E0A" w:rsidRPr="007424E0" w:rsidRDefault="00B24E0A" w:rsidP="002C7DDA">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unable to meet Minimum Documentation requirements, please provide alternate documentation and explain in the comments why the listed Minimum Document is not available and how the alternate documentation evidences that subsection criteria is met. </w:t>
            </w:r>
          </w:p>
          <w:p w14:paraId="56EC571A"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04BD752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02781A5"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6A5508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3.28</w:t>
            </w:r>
          </w:p>
          <w:p w14:paraId="1F1071F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54EFE4E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Restrictions and Age</w:t>
            </w:r>
          </w:p>
        </w:tc>
        <w:tc>
          <w:tcPr>
            <w:tcW w:w="9585" w:type="dxa"/>
            <w:shd w:val="clear" w:color="auto" w:fill="auto"/>
            <w:tcMar>
              <w:top w:w="72" w:type="dxa"/>
              <w:left w:w="115" w:type="dxa"/>
              <w:bottom w:w="72" w:type="dxa"/>
              <w:right w:w="115" w:type="dxa"/>
            </w:tcMar>
            <w:vAlign w:val="center"/>
          </w:tcPr>
          <w:p w14:paraId="122DF852" w14:textId="77777777" w:rsidR="00B24E0A" w:rsidRPr="007424E0" w:rsidRDefault="00B24E0A" w:rsidP="00B35BE9">
            <w:pPr>
              <w:textAlignment w:val="baseline"/>
              <w:rPr>
                <w:rFonts w:ascii="Times New Roman" w:eastAsia="Times New Roman" w:hAnsi="Times New Roman" w:cs="Times New Roman"/>
                <w:color w:val="000000"/>
                <w:sz w:val="20"/>
                <w:szCs w:val="20"/>
              </w:rPr>
            </w:pPr>
            <w:r w:rsidRPr="007424E0">
              <w:rPr>
                <w:rStyle w:val="normaltextrun"/>
                <w:rFonts w:ascii="Times New Roman" w:hAnsi="Times New Roman" w:cs="Times New Roman"/>
                <w:b/>
                <w:bCs/>
                <w:color w:val="000000"/>
                <w:sz w:val="20"/>
                <w:szCs w:val="20"/>
                <w:shd w:val="clear" w:color="auto" w:fill="FFFFFF"/>
              </w:rPr>
              <w:t xml:space="preserve">Question ID: </w:t>
            </w:r>
            <w:r w:rsidRPr="007424E0">
              <w:rPr>
                <w:rStyle w:val="normaltextrun"/>
                <w:rFonts w:ascii="Times New Roman" w:hAnsi="Times New Roman" w:cs="Times New Roman"/>
                <w:color w:val="000000"/>
                <w:sz w:val="20"/>
                <w:szCs w:val="20"/>
                <w:shd w:val="clear" w:color="auto" w:fill="FFFFFF"/>
              </w:rPr>
              <w:t>1003638309_2</w:t>
            </w:r>
            <w:r w:rsidRPr="007424E0">
              <w:rPr>
                <w:rStyle w:val="eop"/>
                <w:rFonts w:ascii="Times New Roman" w:hAnsi="Times New Roman" w:cs="Times New Roman"/>
                <w:color w:val="000000"/>
                <w:sz w:val="20"/>
                <w:szCs w:val="20"/>
                <w:shd w:val="clear" w:color="auto" w:fill="FFFFFF"/>
              </w:rPr>
              <w:t> </w:t>
            </w:r>
          </w:p>
          <w:p w14:paraId="089C1951" w14:textId="77777777" w:rsidR="00B24E0A" w:rsidRPr="007424E0" w:rsidRDefault="00B24E0A"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Our property was built in the 1970s but underwent substantial rehab in 2011. In </w:t>
            </w:r>
            <w:r w:rsidRPr="007424E0">
              <w:rPr>
                <w:rFonts w:ascii="Times New Roman" w:eastAsia="Times New Roman" w:hAnsi="Times New Roman" w:cs="Times New Roman"/>
                <w:b/>
                <w:bCs/>
                <w:color w:val="000000"/>
                <w:sz w:val="20"/>
                <w:szCs w:val="20"/>
              </w:rPr>
              <w:t>(Scoring Criteria) Property Restrictions and Ag</w:t>
            </w:r>
            <w:r w:rsidRPr="007424E0">
              <w:rPr>
                <w:rFonts w:ascii="Times New Roman" w:eastAsia="Times New Roman" w:hAnsi="Times New Roman" w:cs="Times New Roman"/>
                <w:color w:val="000000"/>
                <w:sz w:val="20"/>
                <w:szCs w:val="20"/>
              </w:rPr>
              <w:t>e, is the property age counted from the original building date or from the substantial rehabilitation date </w:t>
            </w:r>
          </w:p>
          <w:p w14:paraId="6783DC64" w14:textId="77777777" w:rsidR="00B24E0A" w:rsidRPr="007424E0" w:rsidRDefault="00B24E0A"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8AAC95C" w14:textId="77777777" w:rsidR="00B24E0A" w:rsidRPr="007424E0" w:rsidRDefault="00B24E0A" w:rsidP="00B35BE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AFBB0E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Property age is determined by the property’s placed in service date, as evidenced by the certificate(s) of occupancy. </w:t>
            </w:r>
          </w:p>
        </w:tc>
      </w:tr>
      <w:tr w:rsidR="00B24E0A" w:rsidRPr="007424E0" w14:paraId="58FBF4DF"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343B1E7"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70CE43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5.00</w:t>
            </w:r>
          </w:p>
          <w:p w14:paraId="149C61E9" w14:textId="77777777" w:rsidR="00B24E0A" w:rsidRPr="007424E0" w:rsidRDefault="00B24E0A" w:rsidP="000F6D48">
            <w:pPr>
              <w:rPr>
                <w:rFonts w:ascii="Times New Roman" w:eastAsia="Times New Roman" w:hAnsi="Times New Roman" w:cs="Times New Roman"/>
                <w:sz w:val="20"/>
                <w:szCs w:val="20"/>
              </w:rPr>
            </w:pP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Application Portal</w:t>
            </w:r>
          </w:p>
        </w:tc>
        <w:tc>
          <w:tcPr>
            <w:tcW w:w="9585" w:type="dxa"/>
            <w:shd w:val="clear" w:color="auto" w:fill="auto"/>
            <w:tcMar>
              <w:top w:w="72" w:type="dxa"/>
              <w:left w:w="115" w:type="dxa"/>
              <w:bottom w:w="72" w:type="dxa"/>
              <w:right w:w="115" w:type="dxa"/>
            </w:tcMar>
            <w:vAlign w:val="center"/>
          </w:tcPr>
          <w:p w14:paraId="4E64DD25"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1012025273 </w:t>
            </w:r>
          </w:p>
          <w:p w14:paraId="0E84A272"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When the 4% Bonds Competitive Review has been submitted via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will applicants receive a written acknowledgment? </w:t>
            </w:r>
          </w:p>
          <w:p w14:paraId="1158A644"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0EF30AF"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32B62F8"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DCA will send email confirmation of receipt after an application is submitted. Confirmation emails for applications submitted before October 14 will be sent by COB the day after submission. For applications submitted on October 14 (Application Submission deadline), confirmation emails will be sent within an hour. </w:t>
            </w:r>
          </w:p>
          <w:p w14:paraId="7280A32D" w14:textId="77777777" w:rsidR="00B24E0A" w:rsidRPr="007424E0" w:rsidRDefault="00B24E0A" w:rsidP="00204539">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72727"/>
                <w:sz w:val="20"/>
                <w:szCs w:val="20"/>
              </w:rPr>
              <w:t>If you do not receive a confirmation within the period defined above, please email Felecia Speakman (</w:t>
            </w:r>
            <w:hyperlink r:id="rId21" w:tgtFrame="_blank" w:history="1">
              <w:r w:rsidRPr="007424E0">
                <w:rPr>
                  <w:rFonts w:ascii="Times New Roman" w:eastAsia="Times New Roman" w:hAnsi="Times New Roman" w:cs="Times New Roman"/>
                  <w:color w:val="0563C1"/>
                  <w:sz w:val="20"/>
                  <w:szCs w:val="20"/>
                  <w:u w:val="single"/>
                </w:rPr>
                <w:t>Felecia.Speakman@dca.ga.gov</w:t>
              </w:r>
            </w:hyperlink>
            <w:r w:rsidRPr="007424E0">
              <w:rPr>
                <w:rFonts w:ascii="Times New Roman" w:eastAsia="Times New Roman" w:hAnsi="Times New Roman" w:cs="Times New Roman"/>
                <w:color w:val="272727"/>
                <w:sz w:val="20"/>
                <w:szCs w:val="20"/>
              </w:rPr>
              <w:t>) and Sanjana Zahin (</w:t>
            </w:r>
            <w:hyperlink r:id="rId22" w:tgtFrame="_blank" w:history="1">
              <w:r w:rsidRPr="007424E0">
                <w:rPr>
                  <w:rFonts w:ascii="Times New Roman" w:eastAsia="Times New Roman" w:hAnsi="Times New Roman" w:cs="Times New Roman"/>
                  <w:color w:val="0563C1"/>
                  <w:sz w:val="20"/>
                  <w:szCs w:val="20"/>
                  <w:u w:val="single"/>
                </w:rPr>
                <w:t>Sanjana.Zahin@dca.ga.gov</w:t>
              </w:r>
            </w:hyperlink>
            <w:r w:rsidRPr="007424E0">
              <w:rPr>
                <w:rFonts w:ascii="Times New Roman" w:eastAsia="Times New Roman" w:hAnsi="Times New Roman" w:cs="Times New Roman"/>
                <w:color w:val="272727"/>
                <w:sz w:val="20"/>
                <w:szCs w:val="20"/>
              </w:rPr>
              <w:t>). </w:t>
            </w:r>
          </w:p>
          <w:p w14:paraId="4C00E27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c>
      </w:tr>
      <w:tr w:rsidR="00B24E0A" w:rsidRPr="007424E0" w14:paraId="67D537D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4EDF776"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483B4BA6"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6.00</w:t>
            </w:r>
          </w:p>
          <w:p w14:paraId="25D1FAB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tc>
        <w:tc>
          <w:tcPr>
            <w:tcW w:w="9585" w:type="dxa"/>
            <w:shd w:val="clear" w:color="auto" w:fill="auto"/>
            <w:tcMar>
              <w:top w:w="72" w:type="dxa"/>
              <w:left w:w="115" w:type="dxa"/>
              <w:bottom w:w="72" w:type="dxa"/>
              <w:right w:w="115" w:type="dxa"/>
            </w:tcMar>
            <w:vAlign w:val="center"/>
          </w:tcPr>
          <w:p w14:paraId="038C2F67" w14:textId="77777777" w:rsidR="00B24E0A" w:rsidRPr="007424E0" w:rsidRDefault="00B24E0A"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1012028005_2 </w:t>
            </w:r>
          </w:p>
          <w:p w14:paraId="34032BA1" w14:textId="77777777" w:rsidR="00B24E0A" w:rsidRPr="007424E0" w:rsidRDefault="00B24E0A"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In the DCA Workshop on 9/20 the following question was asked "After receiving allocation in the competitive round, are the pre-app and full app also competitive or do you maintain your allocation as long as you meet the requirements?" DCA responded "You maintain the allocation as long as you met the requirements." Will DCA clarify what is considered an "Allocation"? </w:t>
            </w:r>
          </w:p>
          <w:p w14:paraId="78AD9594" w14:textId="77777777" w:rsidR="00B24E0A" w:rsidRPr="007424E0" w:rsidRDefault="00B24E0A"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365043A8" w14:textId="77777777" w:rsidR="00B24E0A" w:rsidRPr="007424E0" w:rsidRDefault="00B24E0A"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040454B" w14:textId="77777777" w:rsidR="00B24E0A" w:rsidRPr="007424E0" w:rsidRDefault="00B24E0A" w:rsidP="00FA771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 statement simply means that the competitive elements of the 4% HTC/Bonds Round are limited to the October 14 Competitive Round submission. Applicants awarded under the Competitive Round must meet the remaining Threshold requirements by the designated Pre-Application and full Application deadlines to receive a Letter of Determination. </w:t>
            </w:r>
          </w:p>
          <w:p w14:paraId="7CAF3019" w14:textId="77777777" w:rsidR="00B24E0A" w:rsidRPr="007424E0" w:rsidRDefault="00B24E0A" w:rsidP="003479E0">
            <w:pPr>
              <w:textAlignment w:val="baseline"/>
              <w:rPr>
                <w:rFonts w:ascii="Times New Roman" w:eastAsia="Times New Roman" w:hAnsi="Times New Roman" w:cs="Times New Roman"/>
                <w:b/>
                <w:bCs/>
                <w:sz w:val="20"/>
                <w:szCs w:val="20"/>
              </w:rPr>
            </w:pPr>
          </w:p>
        </w:tc>
      </w:tr>
      <w:tr w:rsidR="00B24E0A" w:rsidRPr="007424E0" w14:paraId="7978931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9CB8685"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0FF4999A" w14:textId="77777777" w:rsidR="00B24E0A" w:rsidRPr="007424E0" w:rsidRDefault="00B24E0A" w:rsidP="006B2FF7">
            <w:pPr>
              <w:rPr>
                <w:rFonts w:ascii="Times New Roman" w:hAnsi="Times New Roman" w:cs="Times New Roman"/>
                <w:sz w:val="20"/>
                <w:szCs w:val="20"/>
              </w:rPr>
            </w:pPr>
            <w:r w:rsidRPr="007424E0">
              <w:rPr>
                <w:rFonts w:ascii="Times New Roman" w:hAnsi="Times New Roman" w:cs="Times New Roman"/>
                <w:sz w:val="20"/>
                <w:szCs w:val="20"/>
              </w:rPr>
              <w:t>6.00</w:t>
            </w:r>
          </w:p>
          <w:p w14:paraId="35B55108" w14:textId="77777777" w:rsidR="00B24E0A" w:rsidRPr="007424E0" w:rsidRDefault="00B24E0A" w:rsidP="006B2FF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07F28091" w14:textId="77777777" w:rsidR="00B24E0A" w:rsidRPr="007424E0" w:rsidRDefault="00B24E0A"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7D3AFA49" w14:textId="77777777" w:rsidR="00B24E0A" w:rsidRPr="007424E0" w:rsidRDefault="00B24E0A"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1012441791 </w:t>
            </w:r>
          </w:p>
          <w:p w14:paraId="5AA0CAE3" w14:textId="77777777" w:rsidR="00B24E0A" w:rsidRPr="007424E0" w:rsidRDefault="00B24E0A"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 investor/lender letters of intent need to be submitted for the 4% competitive round 10/14 submission? </w:t>
            </w:r>
          </w:p>
          <w:p w14:paraId="659456C8" w14:textId="77777777" w:rsidR="00B24E0A" w:rsidRPr="007424E0" w:rsidRDefault="00B24E0A"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6D21B37" w14:textId="77777777" w:rsidR="00B24E0A" w:rsidRPr="007424E0" w:rsidRDefault="00B24E0A"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56AB751" w14:textId="77777777" w:rsidR="00B24E0A" w:rsidRPr="007424E0" w:rsidRDefault="00B24E0A" w:rsidP="0007184D">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list or confirm specific documentation requirements. Applicants are responsible for determining documentation necessary to pass Threshold sections and claim points in Scoring sections applicable to the 4% HTC/Bonds Competitive Round. </w:t>
            </w:r>
          </w:p>
          <w:p w14:paraId="2A0769F5" w14:textId="77777777" w:rsidR="00B24E0A" w:rsidRPr="007424E0" w:rsidRDefault="00B24E0A" w:rsidP="003479E0">
            <w:pPr>
              <w:textAlignment w:val="baseline"/>
              <w:rPr>
                <w:rFonts w:ascii="Times New Roman" w:eastAsia="Times New Roman" w:hAnsi="Times New Roman" w:cs="Times New Roman"/>
                <w:b/>
                <w:bCs/>
                <w:sz w:val="20"/>
                <w:szCs w:val="20"/>
              </w:rPr>
            </w:pPr>
          </w:p>
        </w:tc>
      </w:tr>
      <w:tr w:rsidR="00B24E0A" w:rsidRPr="007424E0" w14:paraId="319F1FA0"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1AF2D26"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5863DE59" w14:textId="77777777" w:rsidR="00B24E0A" w:rsidRPr="007424E0" w:rsidRDefault="00B24E0A" w:rsidP="00052A87">
            <w:pPr>
              <w:rPr>
                <w:rFonts w:ascii="Times New Roman" w:hAnsi="Times New Roman" w:cs="Times New Roman"/>
                <w:sz w:val="20"/>
                <w:szCs w:val="20"/>
              </w:rPr>
            </w:pPr>
            <w:r w:rsidRPr="007424E0">
              <w:rPr>
                <w:rFonts w:ascii="Times New Roman" w:hAnsi="Times New Roman" w:cs="Times New Roman"/>
                <w:sz w:val="20"/>
                <w:szCs w:val="20"/>
              </w:rPr>
              <w:t>6.00</w:t>
            </w:r>
          </w:p>
          <w:p w14:paraId="0A55EA7B" w14:textId="77777777" w:rsidR="00B24E0A" w:rsidRPr="007424E0" w:rsidRDefault="00B24E0A" w:rsidP="00052A87">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1D11249D" w14:textId="77777777" w:rsidR="00B24E0A" w:rsidRPr="007424E0" w:rsidRDefault="00B24E0A"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35B649CB"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1011621366</w:t>
            </w:r>
          </w:p>
          <w:p w14:paraId="2D39B169"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Will there be a new/different Core Application released for the 4% competitive round deadline on October 14th? The DCA website currently has a 2022 Core Application, but states that it is for 9% deals only. What Core Application will be required for the 4% round and when will it become available if it has not been released yet? </w:t>
            </w:r>
          </w:p>
          <w:p w14:paraId="1957D99F"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A445F62"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there a 4% </w:t>
            </w:r>
            <w:proofErr w:type="spellStart"/>
            <w:r w:rsidRPr="007424E0">
              <w:rPr>
                <w:rFonts w:ascii="Times New Roman" w:eastAsia="Times New Roman" w:hAnsi="Times New Roman" w:cs="Times New Roman"/>
                <w:color w:val="000000"/>
                <w:sz w:val="20"/>
                <w:szCs w:val="20"/>
              </w:rPr>
              <w:t>Emphasys</w:t>
            </w:r>
            <w:proofErr w:type="spellEnd"/>
            <w:r w:rsidRPr="007424E0">
              <w:rPr>
                <w:rFonts w:ascii="Times New Roman" w:eastAsia="Times New Roman" w:hAnsi="Times New Roman" w:cs="Times New Roman"/>
                <w:color w:val="000000"/>
                <w:sz w:val="20"/>
                <w:szCs w:val="20"/>
              </w:rPr>
              <w:t xml:space="preserve"> Instruction Manual or Link? Instructions on the website appear to only pertain to 9% Currently. </w:t>
            </w:r>
          </w:p>
          <w:p w14:paraId="0C0C1C67"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7AA612D"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E5ED94E" w14:textId="77777777" w:rsidR="00B24E0A" w:rsidRPr="007424E0" w:rsidRDefault="00B24E0A" w:rsidP="00DB36EF">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Excel Core Application and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instructions for this 4% HTC/Bonds Round have been published to the 2022 4% HTC/Bonds Competitive Round page of the DCA website (</w:t>
            </w:r>
            <w:hyperlink r:id="rId23"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47C37CFF"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7BA8952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08D009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9/27/22</w:t>
            </w:r>
          </w:p>
        </w:tc>
        <w:tc>
          <w:tcPr>
            <w:tcW w:w="2663" w:type="dxa"/>
            <w:shd w:val="clear" w:color="auto" w:fill="auto"/>
            <w:tcMar>
              <w:top w:w="72" w:type="dxa"/>
              <w:left w:w="115" w:type="dxa"/>
              <w:bottom w:w="72" w:type="dxa"/>
              <w:right w:w="115" w:type="dxa"/>
            </w:tcMar>
            <w:vAlign w:val="center"/>
          </w:tcPr>
          <w:p w14:paraId="7C5B5A11" w14:textId="77777777" w:rsidR="00B24E0A" w:rsidRPr="007424E0" w:rsidRDefault="00B24E0A" w:rsidP="003F5598">
            <w:pPr>
              <w:rPr>
                <w:rFonts w:ascii="Times New Roman" w:hAnsi="Times New Roman" w:cs="Times New Roman"/>
                <w:sz w:val="20"/>
                <w:szCs w:val="20"/>
              </w:rPr>
            </w:pPr>
            <w:r w:rsidRPr="007424E0">
              <w:rPr>
                <w:rFonts w:ascii="Times New Roman" w:hAnsi="Times New Roman" w:cs="Times New Roman"/>
                <w:sz w:val="20"/>
                <w:szCs w:val="20"/>
              </w:rPr>
              <w:t>6.00</w:t>
            </w:r>
          </w:p>
          <w:p w14:paraId="579B427F" w14:textId="77777777" w:rsidR="00B24E0A" w:rsidRPr="007424E0" w:rsidRDefault="00B24E0A" w:rsidP="003F559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7A52F9F2" w14:textId="77777777" w:rsidR="00B24E0A" w:rsidRPr="007424E0" w:rsidRDefault="00B24E0A" w:rsidP="00185971">
            <w:pPr>
              <w:rPr>
                <w:rFonts w:ascii="Times New Roman" w:hAnsi="Times New Roman" w:cs="Times New Roman"/>
                <w:sz w:val="20"/>
                <w:szCs w:val="20"/>
              </w:rPr>
            </w:pPr>
          </w:p>
          <w:p w14:paraId="5C4BA3C3"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(also 1.14</w:t>
            </w:r>
          </w:p>
          <w:p w14:paraId="5CD64A94"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Core Plan;</w:t>
            </w:r>
          </w:p>
          <w:p w14:paraId="23F7E855"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Project Reconfiguration/</w:t>
            </w:r>
          </w:p>
          <w:p w14:paraId="7898D32D" w14:textId="77777777" w:rsidR="00B24E0A" w:rsidRPr="007424E0" w:rsidRDefault="00B24E0A" w:rsidP="00185971">
            <w:pPr>
              <w:rPr>
                <w:rFonts w:ascii="Times New Roman" w:hAnsi="Times New Roman" w:cs="Times New Roman"/>
                <w:sz w:val="20"/>
                <w:szCs w:val="20"/>
              </w:rPr>
            </w:pPr>
            <w:r w:rsidRPr="007424E0">
              <w:rPr>
                <w:rFonts w:ascii="Times New Roman" w:hAnsi="Times New Roman" w:cs="Times New Roman"/>
                <w:sz w:val="20"/>
                <w:szCs w:val="20"/>
              </w:rPr>
              <w:t>Application Modification)</w:t>
            </w:r>
          </w:p>
        </w:tc>
        <w:tc>
          <w:tcPr>
            <w:tcW w:w="9585" w:type="dxa"/>
            <w:shd w:val="clear" w:color="auto" w:fill="auto"/>
            <w:tcMar>
              <w:top w:w="72" w:type="dxa"/>
              <w:left w:w="115" w:type="dxa"/>
              <w:bottom w:w="72" w:type="dxa"/>
              <w:right w:w="115" w:type="dxa"/>
            </w:tcMar>
            <w:vAlign w:val="center"/>
          </w:tcPr>
          <w:p w14:paraId="19EA5E6F"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color w:val="000000"/>
                <w:sz w:val="20"/>
                <w:szCs w:val="20"/>
              </w:rPr>
              <w:t>997617189 </w:t>
            </w:r>
          </w:p>
          <w:p w14:paraId="4F35902E"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submitted a project for the 2022 9% LIHTC application round since we were unsure if DCA would have any 4% LIHTC and bond allocation available this year. However, the 4% LIHTC and tax-exempt bonds work better for our deal and will allow us to maximize the amount of rehab we can do at the property. We would like to submit the same project for the 4% LIHTC and tax-exempt bond round, however, we don't want to jeopardize either application.  </w:t>
            </w:r>
          </w:p>
          <w:p w14:paraId="54E915F8"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CFC9C18"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If we end up receiving the 9% LIHTC award, can we move forward with the application process for the 4% and choose which funding works best for our deal if we receive both allocations? Would DCA consider a project to utilize both 9% and 4% tax credits together? </w:t>
            </w:r>
            <w:r w:rsidRPr="007424E0">
              <w:rPr>
                <w:rFonts w:ascii="Times New Roman" w:eastAsia="Times New Roman" w:hAnsi="Times New Roman" w:cs="Times New Roman"/>
                <w:color w:val="000000"/>
                <w:sz w:val="20"/>
                <w:szCs w:val="20"/>
              </w:rPr>
              <w:br/>
              <w:t> </w:t>
            </w:r>
          </w:p>
          <w:p w14:paraId="51FD05C1" w14:textId="77777777" w:rsidR="00B24E0A" w:rsidRPr="007424E0" w:rsidRDefault="00B24E0A" w:rsidP="007960CD">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72D2B06D"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risk associated with submitting the same development under both the 9% Round and the 4%/Bonds Round. If awarded under both, yes, you can choose which funding works best for the development. Although there is no risk associated with this, DCA may charge an additional fee for any return of credits. </w:t>
            </w:r>
          </w:p>
          <w:p w14:paraId="17C73458"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02FD96D" w14:textId="77777777" w:rsidR="00B24E0A" w:rsidRPr="007424E0" w:rsidRDefault="00B24E0A" w:rsidP="00690A7E">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DCA will not allow applicants to revise applications after receiving an award to allow for twinning (combining 9% and 4% credits for the same development), as both DCA resources are highly competitive. If awarded under both competitive rounds, you must choose whether to pursue the 9% award alone or the 4%/bonds award alone.  </w:t>
            </w:r>
          </w:p>
          <w:p w14:paraId="56B5130C" w14:textId="77777777" w:rsidR="00B24E0A" w:rsidRPr="007424E0" w:rsidRDefault="00B24E0A" w:rsidP="00FA7715">
            <w:pPr>
              <w:textAlignment w:val="baseline"/>
              <w:rPr>
                <w:rFonts w:ascii="Times New Roman" w:eastAsia="Times New Roman" w:hAnsi="Times New Roman" w:cs="Times New Roman"/>
                <w:b/>
                <w:bCs/>
                <w:sz w:val="20"/>
                <w:szCs w:val="20"/>
              </w:rPr>
            </w:pPr>
          </w:p>
        </w:tc>
      </w:tr>
      <w:tr w:rsidR="00B24E0A" w:rsidRPr="007424E0" w14:paraId="4AC57C6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D6E617E"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5E9EE95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1.10 </w:t>
            </w:r>
          </w:p>
          <w:p w14:paraId="116A0B18"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2C38477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0619D54E"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1000941935</w:t>
            </w:r>
          </w:p>
          <w:p w14:paraId="2818D29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Can DCA please provide insight on the QAP language (Core Plan) 4% Federal Credit - Bond Financed Projects, subsections C) and D) and the following question? </w:t>
            </w:r>
          </w:p>
          <w:p w14:paraId="5B541970" w14:textId="77777777" w:rsidR="00B24E0A" w:rsidRPr="007424E0" w:rsidRDefault="00B24E0A" w:rsidP="000F6D48">
            <w:pPr>
              <w:textAlignment w:val="baseline"/>
              <w:rPr>
                <w:rFonts w:ascii="Times New Roman" w:eastAsia="Times New Roman" w:hAnsi="Times New Roman" w:cs="Times New Roman"/>
                <w:b/>
                <w:bCs/>
                <w:sz w:val="20"/>
                <w:szCs w:val="20"/>
              </w:rPr>
            </w:pPr>
          </w:p>
          <w:p w14:paraId="4460C01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a Public Housing Authority, participating in an application for 20% ownership through a Private Enterprise Agreement structure, be subject to only two applications? Or is the language intended for the Developer to be limited to two applications? We are looking to submit in October with a PHA who partners with an affiliated development company. The PHA wants more developers to be active in their jurisdiction but is already planning to submit two applications through their related development company.</w:t>
            </w:r>
          </w:p>
          <w:p w14:paraId="4EB538F9" w14:textId="77777777" w:rsidR="00B24E0A" w:rsidRPr="007424E0" w:rsidRDefault="00B24E0A" w:rsidP="000F6D48">
            <w:pPr>
              <w:textAlignment w:val="baseline"/>
              <w:rPr>
                <w:rFonts w:ascii="Times New Roman" w:eastAsia="Times New Roman" w:hAnsi="Times New Roman" w:cs="Times New Roman"/>
                <w:sz w:val="20"/>
                <w:szCs w:val="20"/>
              </w:rPr>
            </w:pPr>
          </w:p>
          <w:p w14:paraId="1957786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 would think that DCA is not intending to cap applications for Public Housing Authorities looking to joint venture...but based on the wording in the QAP I was unclear.</w:t>
            </w:r>
          </w:p>
          <w:p w14:paraId="4BB3005A" w14:textId="77777777" w:rsidR="00B24E0A" w:rsidRPr="007424E0" w:rsidRDefault="00B24E0A" w:rsidP="000F6D48">
            <w:pPr>
              <w:textAlignment w:val="baseline"/>
              <w:rPr>
                <w:rFonts w:ascii="Times New Roman" w:eastAsia="Times New Roman" w:hAnsi="Times New Roman" w:cs="Times New Roman"/>
                <w:b/>
                <w:bCs/>
                <w:sz w:val="20"/>
                <w:szCs w:val="20"/>
              </w:rPr>
            </w:pPr>
          </w:p>
          <w:p w14:paraId="2D215CFB"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73F8CC5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application limitation and the award limitation rely on the terms “qualified Developer,” “Applicant,” and “General Partner” (per (Core Plan) Definitions, “Applicant” and “General Partner” are synonymous).  </w:t>
            </w:r>
          </w:p>
          <w:p w14:paraId="2AC3360A" w14:textId="77777777" w:rsidR="00B24E0A" w:rsidRPr="007424E0" w:rsidRDefault="00B24E0A" w:rsidP="000F6D48">
            <w:pPr>
              <w:textAlignment w:val="baseline"/>
              <w:rPr>
                <w:rFonts w:ascii="Times New Roman" w:eastAsia="Times New Roman" w:hAnsi="Times New Roman" w:cs="Times New Roman"/>
                <w:sz w:val="20"/>
                <w:szCs w:val="20"/>
              </w:rPr>
            </w:pPr>
          </w:p>
          <w:p w14:paraId="1DFCE5C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Both the Applicant/General Partner definition and the Developer definition encompass “entities that have a direct or indirect ownership” in the General Partner/Developer entity. Please review (Core Plan) Definitions to confirm whether other aspects of the definition may impact your circumstances. </w:t>
            </w:r>
          </w:p>
          <w:p w14:paraId="0A084D27" w14:textId="77777777" w:rsidR="00B24E0A" w:rsidRPr="007424E0" w:rsidRDefault="00B24E0A" w:rsidP="000F6D48">
            <w:pPr>
              <w:textAlignment w:val="baseline"/>
              <w:rPr>
                <w:rFonts w:ascii="Times New Roman" w:eastAsia="Times New Roman" w:hAnsi="Times New Roman" w:cs="Times New Roman"/>
                <w:sz w:val="20"/>
                <w:szCs w:val="20"/>
              </w:rPr>
            </w:pPr>
          </w:p>
          <w:p w14:paraId="7B8491A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the PHA is covered under any of the above, the application limitation and/or award limitation applies. DCA has received public input that this limitation is not appropriate given the integral role that PHAs play in 4%/Bonds developments. DCA will not disregard the 2022 QAP language for purposes of the 2022 4%/Bonds Round but will consider this public input for purposes of the 2023 QAP.</w:t>
            </w:r>
          </w:p>
          <w:p w14:paraId="27D5A91D"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070E69B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5423E1B" w14:textId="77777777" w:rsidR="00B24E0A" w:rsidRPr="007424E0" w:rsidRDefault="00B24E0A"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29555E9D"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2.21 </w:t>
            </w:r>
          </w:p>
          <w:p w14:paraId="4B1B677B"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755DA73B"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for Credit Under the Preservation Set Asides</w:t>
            </w:r>
          </w:p>
        </w:tc>
        <w:tc>
          <w:tcPr>
            <w:tcW w:w="9585" w:type="dxa"/>
            <w:shd w:val="clear" w:color="auto" w:fill="auto"/>
            <w:tcMar>
              <w:top w:w="72" w:type="dxa"/>
              <w:left w:w="115" w:type="dxa"/>
              <w:bottom w:w="72" w:type="dxa"/>
              <w:right w:w="115" w:type="dxa"/>
            </w:tcMar>
            <w:vAlign w:val="center"/>
          </w:tcPr>
          <w:p w14:paraId="24E58290" w14:textId="77777777" w:rsidR="00B24E0A" w:rsidRPr="007424E0" w:rsidRDefault="00B24E0A" w:rsidP="007040CC">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1002018951 </w:t>
            </w:r>
          </w:p>
          <w:p w14:paraId="13CE992B" w14:textId="77777777" w:rsidR="00B24E0A" w:rsidRPr="007424E0" w:rsidRDefault="00B24E0A"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submitting an application for tax-exempt bonds and the 4% credit. It will be submitted as a Preservation deal. I would like to confirm that, as there is no RAD set aside for 4% deals, we will not be required to submit HUD approval for the RAD conversion or the RAD CHAP as part of our application. </w:t>
            </w:r>
          </w:p>
          <w:p w14:paraId="77D6CBB4" w14:textId="77777777" w:rsidR="00B24E0A" w:rsidRPr="007424E0" w:rsidRDefault="00B24E0A" w:rsidP="007040CC">
            <w:pPr>
              <w:textAlignment w:val="baseline"/>
              <w:rPr>
                <w:rFonts w:ascii="Times New Roman" w:eastAsia="Times New Roman" w:hAnsi="Times New Roman" w:cs="Times New Roman"/>
                <w:sz w:val="20"/>
                <w:szCs w:val="20"/>
              </w:rPr>
            </w:pPr>
          </w:p>
          <w:p w14:paraId="0651A45E" w14:textId="77777777" w:rsidR="00B24E0A" w:rsidRPr="007424E0" w:rsidRDefault="00B24E0A"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51B53E3" w14:textId="77777777" w:rsidR="00B24E0A" w:rsidRPr="007424E0" w:rsidRDefault="00B24E0A" w:rsidP="007040CC">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You are correct that the requirements for RAD developments listed under </w:t>
            </w:r>
            <w:r w:rsidRPr="007424E0">
              <w:rPr>
                <w:rFonts w:ascii="Times New Roman" w:eastAsia="Times New Roman" w:hAnsi="Times New Roman" w:cs="Times New Roman"/>
                <w:b/>
                <w:bCs/>
                <w:sz w:val="20"/>
                <w:szCs w:val="20"/>
              </w:rPr>
              <w:t>Eligibility for Credit Under the Preservation Set Asides</w:t>
            </w:r>
            <w:r w:rsidRPr="007424E0">
              <w:rPr>
                <w:rFonts w:ascii="Times New Roman" w:eastAsia="Times New Roman" w:hAnsi="Times New Roman" w:cs="Times New Roman"/>
                <w:sz w:val="20"/>
                <w:szCs w:val="20"/>
              </w:rPr>
              <w:t xml:space="preserve"> are not required for purposes of the 4%/Bonds Round. This section is not required for purposes of 4% Competitive Review (see </w:t>
            </w:r>
            <w:r w:rsidRPr="007424E0">
              <w:rPr>
                <w:rFonts w:ascii="Times New Roman" w:eastAsia="Times New Roman" w:hAnsi="Times New Roman" w:cs="Times New Roman"/>
                <w:b/>
                <w:bCs/>
                <w:sz w:val="20"/>
                <w:szCs w:val="20"/>
              </w:rPr>
              <w:t>Applicability of Threshold Criteria</w:t>
            </w:r>
            <w:r w:rsidRPr="007424E0">
              <w:rPr>
                <w:rFonts w:ascii="Times New Roman" w:eastAsia="Times New Roman" w:hAnsi="Times New Roman" w:cs="Times New Roman"/>
                <w:sz w:val="20"/>
                <w:szCs w:val="20"/>
              </w:rPr>
              <w:t>).  </w:t>
            </w:r>
          </w:p>
          <w:p w14:paraId="046DE59D" w14:textId="77777777" w:rsidR="00B24E0A" w:rsidRPr="007424E0" w:rsidRDefault="00B24E0A" w:rsidP="64301FE8">
            <w:pPr>
              <w:rPr>
                <w:rFonts w:ascii="Times New Roman" w:eastAsia="Times New Roman" w:hAnsi="Times New Roman" w:cs="Times New Roman"/>
                <w:b/>
                <w:bCs/>
                <w:sz w:val="20"/>
                <w:szCs w:val="20"/>
              </w:rPr>
            </w:pPr>
          </w:p>
        </w:tc>
      </w:tr>
      <w:tr w:rsidR="00B24E0A" w:rsidRPr="007424E0" w14:paraId="3F92649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EFA555D" w14:textId="77777777" w:rsidR="00B24E0A" w:rsidRPr="007424E0" w:rsidRDefault="00B24E0A"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74A9C05A"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3.05 </w:t>
            </w:r>
          </w:p>
          <w:p w14:paraId="2F45284B"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0B2798CB"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91D6B88" w14:textId="77777777" w:rsidR="00B24E0A" w:rsidRPr="007424E0" w:rsidRDefault="00B24E0A"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b/>
                <w:bCs/>
                <w:color w:val="000000"/>
                <w:sz w:val="20"/>
                <w:szCs w:val="20"/>
              </w:rPr>
              <w:t>1007640689</w:t>
            </w:r>
            <w:r w:rsidRPr="007424E0">
              <w:rPr>
                <w:rFonts w:ascii="Times New Roman" w:eastAsia="Times New Roman" w:hAnsi="Times New Roman" w:cs="Times New Roman"/>
                <w:color w:val="000000"/>
                <w:sz w:val="20"/>
                <w:szCs w:val="20"/>
              </w:rPr>
              <w:t> </w:t>
            </w:r>
          </w:p>
          <w:p w14:paraId="48B2F455" w14:textId="77777777" w:rsidR="00B24E0A" w:rsidRPr="007424E0" w:rsidRDefault="00B24E0A"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desirable site certification is tied to the vehicle and walking entrance coordinates on the conceptual site development plan. Do we need conceptual site development plan to be part of the initial 4% submission or will the coordinates for vehicle entrance and walking entrance suffice? </w:t>
            </w:r>
            <w:r w:rsidRPr="007424E0">
              <w:rPr>
                <w:rFonts w:ascii="Times New Roman" w:eastAsia="Times New Roman" w:hAnsi="Times New Roman" w:cs="Times New Roman"/>
                <w:color w:val="000000"/>
                <w:sz w:val="20"/>
                <w:szCs w:val="20"/>
              </w:rPr>
              <w:br/>
            </w:r>
          </w:p>
          <w:p w14:paraId="14543600" w14:textId="77777777" w:rsidR="00B24E0A" w:rsidRPr="007424E0" w:rsidRDefault="00B24E0A"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DA85EA9" w14:textId="77777777" w:rsidR="00B24E0A" w:rsidRPr="007424E0" w:rsidRDefault="00B24E0A" w:rsidP="00513535">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Since a CSDP is not required for the 4%/Bonds Competitive Review Submission, coordinates for the vehicle and walking distance will suffice for purposes of Desirable/Undesirable Activities.   </w:t>
            </w:r>
          </w:p>
          <w:p w14:paraId="3F44703B" w14:textId="77777777" w:rsidR="00B24E0A" w:rsidRPr="007424E0" w:rsidRDefault="00B24E0A" w:rsidP="00513535">
            <w:pPr>
              <w:textAlignment w:val="baseline"/>
              <w:rPr>
                <w:rFonts w:ascii="Times New Roman" w:eastAsia="Times New Roman" w:hAnsi="Times New Roman" w:cs="Times New Roman"/>
                <w:sz w:val="20"/>
                <w:szCs w:val="20"/>
              </w:rPr>
            </w:pPr>
          </w:p>
        </w:tc>
      </w:tr>
      <w:tr w:rsidR="00B24E0A" w:rsidRPr="007424E0" w14:paraId="0764629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E290669"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36E7CE0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75D79AF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6B60C6F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7ABD5495"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 1006251146 </w:t>
            </w:r>
          </w:p>
          <w:p w14:paraId="4C62BF2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Under Section VII.) Quality Education Areas, do all three schools that the property is districted for have to meet the criteria in order to qualify for points?  </w:t>
            </w:r>
          </w:p>
          <w:p w14:paraId="034C321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D2A0D3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Example, under subsection A) if 2/3 schools have above average CCRPI scores do they qualify for points? </w:t>
            </w:r>
          </w:p>
          <w:p w14:paraId="714A030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F62DA51"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Under subsection B) if 1/3 schools has a "Beating the Odds" designation do they qualify for points?</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4E5E26DF"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0D0623D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 stated in the QAP, </w:t>
            </w:r>
            <w:r w:rsidRPr="007424E0">
              <w:rPr>
                <w:rFonts w:ascii="Times New Roman" w:eastAsia="Times New Roman" w:hAnsi="Times New Roman" w:cs="Times New Roman"/>
                <w:b/>
                <w:bCs/>
                <w:sz w:val="20"/>
                <w:szCs w:val="20"/>
              </w:rPr>
              <w:t>Scoring VII Quality Education Areas</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i/>
                <w:iCs/>
                <w:sz w:val="20"/>
                <w:szCs w:val="20"/>
              </w:rPr>
              <w:t>“Each school qualifying for points must meet requirements for A, B or C.”</w:t>
            </w:r>
            <w:r w:rsidRPr="007424E0">
              <w:rPr>
                <w:rFonts w:ascii="Times New Roman" w:eastAsia="Times New Roman" w:hAnsi="Times New Roman" w:cs="Times New Roman"/>
                <w:sz w:val="20"/>
                <w:szCs w:val="20"/>
              </w:rPr>
              <w:t> </w:t>
            </w:r>
          </w:p>
          <w:p w14:paraId="3F9A898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69A313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Following the same example, if 2 out of 3 schools that the property is districted for meet the qualifications for subsection A., those 2 schools would qualify for points under subsection A. If 1 school that the property is districted for meets the qualifications for subsection B., that 1 school would qualify for points under subsection B.  </w:t>
            </w:r>
          </w:p>
          <w:p w14:paraId="045F07E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CBE617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total number of grades served by qualifying schools under subsection A., B., and C. will be added together to determine the number of points awarded under this scoring section. Please refer to the Scoring Table in this section for more detail. </w:t>
            </w:r>
          </w:p>
          <w:p w14:paraId="3EACD496"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6400CEA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12754D6"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4CEE53A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3.07 </w:t>
            </w:r>
          </w:p>
          <w:p w14:paraId="6E0B490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41FDE0A5"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439FF5E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 1001875371</w:t>
            </w:r>
            <w:r w:rsidRPr="007424E0">
              <w:rPr>
                <w:rFonts w:ascii="Times New Roman" w:eastAsia="Times New Roman" w:hAnsi="Times New Roman" w:cs="Times New Roman"/>
                <w:b/>
                <w:bCs/>
                <w:sz w:val="20"/>
                <w:szCs w:val="20"/>
              </w:rPr>
              <w:br/>
            </w:r>
            <w:r w:rsidRPr="007424E0">
              <w:rPr>
                <w:rFonts w:ascii="Times New Roman" w:eastAsia="Times New Roman" w:hAnsi="Times New Roman" w:cs="Times New Roman"/>
                <w:sz w:val="20"/>
                <w:szCs w:val="20"/>
              </w:rPr>
              <w:t>Are CCRPI 2020-2022 averages waved due to covid? Still need to provide 2018/19 CCRPI documentation?</w:t>
            </w:r>
          </w:p>
          <w:p w14:paraId="6AA88DB4" w14:textId="77777777" w:rsidR="00B24E0A" w:rsidRPr="007424E0" w:rsidRDefault="00B24E0A" w:rsidP="000F6D48">
            <w:pPr>
              <w:textAlignment w:val="baseline"/>
              <w:rPr>
                <w:rFonts w:ascii="Times New Roman" w:eastAsia="Times New Roman" w:hAnsi="Times New Roman" w:cs="Times New Roman"/>
                <w:b/>
                <w:bCs/>
                <w:sz w:val="20"/>
                <w:szCs w:val="20"/>
              </w:rPr>
            </w:pPr>
          </w:p>
          <w:p w14:paraId="5F5131D8"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Answer: </w:t>
            </w:r>
          </w:p>
          <w:p w14:paraId="48F2042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GA Department of Education CCRPI website </w:t>
            </w:r>
            <w:r w:rsidRPr="007424E0">
              <w:rPr>
                <w:rStyle w:val="normaltextrun"/>
                <w:rFonts w:ascii="Times New Roman" w:hAnsi="Times New Roman" w:cs="Times New Roman"/>
                <w:color w:val="000000"/>
                <w:sz w:val="20"/>
                <w:szCs w:val="20"/>
                <w:shd w:val="clear" w:color="auto" w:fill="FFFFFF"/>
              </w:rPr>
              <w:t>(</w:t>
            </w:r>
            <w:hyperlink r:id="rId24"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 xml:space="preserve">), </w:t>
            </w:r>
            <w:r w:rsidRPr="007424E0">
              <w:rPr>
                <w:rFonts w:ascii="Times New Roman" w:eastAsia="Times New Roman" w:hAnsi="Times New Roman" w:cs="Times New Roman"/>
                <w:sz w:val="20"/>
                <w:szCs w:val="20"/>
              </w:rPr>
              <w:t xml:space="preserve">for 2020 and 2021 scores purposes, there are no CCRPI summary scores for the state, school districts, or schools. </w:t>
            </w:r>
          </w:p>
          <w:p w14:paraId="07975B51" w14:textId="77777777" w:rsidR="00B24E0A" w:rsidRPr="007424E0" w:rsidRDefault="00B24E0A" w:rsidP="000F6D48">
            <w:pPr>
              <w:textAlignment w:val="baseline"/>
              <w:rPr>
                <w:rFonts w:ascii="Times New Roman" w:eastAsia="Times New Roman" w:hAnsi="Times New Roman" w:cs="Times New Roman"/>
                <w:sz w:val="20"/>
                <w:szCs w:val="20"/>
              </w:rPr>
            </w:pPr>
          </w:p>
          <w:p w14:paraId="5496D68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the Quality Education Areas Scoring Instructions document as posted to the website can still be used for the 2022 4%/Bonds Round </w:t>
            </w:r>
            <w:r w:rsidRPr="007424E0">
              <w:rPr>
                <w:rStyle w:val="normaltextrun"/>
                <w:rFonts w:ascii="Times New Roman" w:hAnsi="Times New Roman" w:cs="Times New Roman"/>
                <w:color w:val="000000"/>
                <w:sz w:val="20"/>
                <w:szCs w:val="20"/>
                <w:shd w:val="clear" w:color="auto" w:fill="FFFFFF"/>
              </w:rPr>
              <w:t>(</w:t>
            </w:r>
            <w:hyperlink r:id="rId25" w:tgtFrame="_blank" w:history="1">
              <w:r w:rsidRPr="007424E0">
                <w:rPr>
                  <w:rStyle w:val="normaltextrun"/>
                  <w:rFonts w:ascii="Times New Roman" w:hAnsi="Times New Roman" w:cs="Times New Roman"/>
                  <w:color w:val="0563C1"/>
                  <w:sz w:val="20"/>
                  <w:szCs w:val="20"/>
                  <w:u w:val="single"/>
                  <w:shd w:val="clear" w:color="auto" w:fill="FFFFFF"/>
                </w:rPr>
                <w:t>click here</w:t>
              </w:r>
            </w:hyperlink>
            <w:r w:rsidRPr="007424E0">
              <w:rPr>
                <w:rStyle w:val="normaltextrun"/>
                <w:rFonts w:ascii="Times New Roman" w:hAnsi="Times New Roman" w:cs="Times New Roman"/>
                <w:color w:val="000000"/>
                <w:sz w:val="20"/>
                <w:szCs w:val="20"/>
                <w:shd w:val="clear" w:color="auto" w:fill="FFFFFF"/>
              </w:rPr>
              <w:t>).</w:t>
            </w:r>
          </w:p>
          <w:p w14:paraId="39B15B1A" w14:textId="77777777" w:rsidR="00B24E0A" w:rsidRPr="007424E0" w:rsidRDefault="00B24E0A" w:rsidP="000F6D48">
            <w:pPr>
              <w:textAlignment w:val="baseline"/>
              <w:rPr>
                <w:rFonts w:ascii="Times New Roman" w:eastAsia="Times New Roman" w:hAnsi="Times New Roman" w:cs="Times New Roman"/>
                <w:color w:val="000000" w:themeColor="text1"/>
                <w:sz w:val="20"/>
                <w:szCs w:val="20"/>
              </w:rPr>
            </w:pPr>
          </w:p>
        </w:tc>
      </w:tr>
      <w:tr w:rsidR="00B24E0A" w:rsidRPr="007424E0" w14:paraId="5AB5102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E04F78C" w14:textId="77777777" w:rsidR="00B24E0A" w:rsidRPr="007424E0" w:rsidRDefault="00B24E0A"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6F997AA4" w14:textId="77777777" w:rsidR="00B24E0A" w:rsidRPr="007424E0" w:rsidRDefault="00B24E0A" w:rsidP="00344EE6">
            <w:pPr>
              <w:rPr>
                <w:rFonts w:ascii="Times New Roman" w:hAnsi="Times New Roman" w:cs="Times New Roman"/>
                <w:sz w:val="20"/>
                <w:szCs w:val="20"/>
              </w:rPr>
            </w:pPr>
            <w:r w:rsidRPr="007424E0">
              <w:rPr>
                <w:rFonts w:ascii="Times New Roman" w:hAnsi="Times New Roman" w:cs="Times New Roman"/>
                <w:sz w:val="20"/>
                <w:szCs w:val="20"/>
              </w:rPr>
              <w:t>7.00</w:t>
            </w:r>
          </w:p>
          <w:p w14:paraId="6E02DC0A" w14:textId="77777777" w:rsidR="00B24E0A" w:rsidRPr="007424E0" w:rsidRDefault="00B24E0A" w:rsidP="00344EE6">
            <w:pPr>
              <w:rPr>
                <w:rFonts w:ascii="Times New Roman" w:eastAsia="Times New Roman" w:hAnsi="Times New Roman" w:cs="Times New Roman"/>
                <w:sz w:val="20"/>
                <w:szCs w:val="20"/>
              </w:rPr>
            </w:pPr>
            <w:r w:rsidRPr="007424E0">
              <w:rPr>
                <w:rFonts w:ascii="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7EC04C36" w14:textId="77777777" w:rsidR="00B24E0A" w:rsidRPr="007424E0" w:rsidRDefault="00B24E0A" w:rsidP="00316F75">
            <w:pPr>
              <w:pStyle w:val="paragraph"/>
              <w:spacing w:before="0" w:beforeAutospacing="0" w:after="0" w:afterAutospacing="0"/>
              <w:textAlignment w:val="baseline"/>
              <w:rPr>
                <w:sz w:val="20"/>
                <w:szCs w:val="20"/>
              </w:rPr>
            </w:pPr>
            <w:r w:rsidRPr="007424E0">
              <w:rPr>
                <w:b/>
                <w:bCs/>
                <w:sz w:val="20"/>
                <w:szCs w:val="20"/>
              </w:rPr>
              <w:t>Question ID:</w:t>
            </w:r>
            <w:r w:rsidRPr="007424E0">
              <w:rPr>
                <w:rStyle w:val="normaltextrun"/>
                <w:b/>
                <w:bCs/>
                <w:sz w:val="20"/>
                <w:szCs w:val="20"/>
              </w:rPr>
              <w:t xml:space="preserve"> </w:t>
            </w:r>
            <w:r w:rsidRPr="007424E0">
              <w:rPr>
                <w:rStyle w:val="normaltextrun"/>
                <w:b/>
                <w:bCs/>
                <w:color w:val="000000"/>
                <w:sz w:val="20"/>
                <w:szCs w:val="20"/>
              </w:rPr>
              <w:t>995462618</w:t>
            </w:r>
            <w:r w:rsidRPr="007424E0">
              <w:rPr>
                <w:rStyle w:val="scxw80676492"/>
                <w:rFonts w:eastAsiaTheme="majorEastAsia"/>
                <w:b/>
                <w:bCs/>
                <w:color w:val="000000"/>
                <w:sz w:val="20"/>
                <w:szCs w:val="20"/>
              </w:rPr>
              <w:t> </w:t>
            </w:r>
            <w:r w:rsidRPr="007424E0">
              <w:rPr>
                <w:color w:val="000000"/>
                <w:sz w:val="20"/>
                <w:szCs w:val="20"/>
              </w:rPr>
              <w:br/>
            </w:r>
            <w:r w:rsidRPr="007424E0">
              <w:rPr>
                <w:rStyle w:val="normaltextrun"/>
                <w:color w:val="000000"/>
                <w:sz w:val="20"/>
                <w:szCs w:val="20"/>
              </w:rPr>
              <w:t xml:space="preserve">We are a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development that is stalled due to construction cost increases. We think that this deal could work, though, with 4% credits and bonds. We are contemplating applying under the upcoming 4%/Bonds Competitive Round and returning the </w:t>
            </w:r>
            <w:r w:rsidRPr="007424E0">
              <w:rPr>
                <w:rStyle w:val="contextualspellingandgrammarerror"/>
                <w:rFonts w:eastAsiaTheme="majorEastAsia"/>
                <w:color w:val="000000"/>
                <w:sz w:val="20"/>
                <w:szCs w:val="20"/>
              </w:rPr>
              <w:t>previously-awarded</w:t>
            </w:r>
            <w:r w:rsidRPr="007424E0">
              <w:rPr>
                <w:rStyle w:val="normaltextrun"/>
                <w:color w:val="000000"/>
                <w:sz w:val="20"/>
                <w:szCs w:val="20"/>
              </w:rPr>
              <w:t xml:space="preserve"> 9% credits. </w:t>
            </w:r>
            <w:r w:rsidRPr="007424E0">
              <w:rPr>
                <w:rStyle w:val="scxw80676492"/>
                <w:rFonts w:eastAsiaTheme="majorEastAsia"/>
                <w:color w:val="000000"/>
                <w:sz w:val="20"/>
                <w:szCs w:val="20"/>
              </w:rPr>
              <w:t> </w:t>
            </w:r>
            <w:r w:rsidRPr="007424E0">
              <w:rPr>
                <w:color w:val="000000"/>
                <w:sz w:val="20"/>
                <w:szCs w:val="20"/>
              </w:rPr>
              <w:br/>
            </w:r>
            <w:r w:rsidRPr="007424E0">
              <w:rPr>
                <w:rStyle w:val="eop"/>
                <w:color w:val="000000"/>
                <w:sz w:val="20"/>
                <w:szCs w:val="20"/>
              </w:rPr>
              <w:t> </w:t>
            </w:r>
          </w:p>
          <w:p w14:paraId="3238B911" w14:textId="77777777" w:rsidR="00B24E0A" w:rsidRPr="007424E0" w:rsidRDefault="00B24E0A" w:rsidP="00316F75">
            <w:pPr>
              <w:pStyle w:val="paragraph"/>
              <w:spacing w:before="0" w:beforeAutospacing="0" w:after="0" w:afterAutospacing="0"/>
              <w:textAlignment w:val="baseline"/>
              <w:rPr>
                <w:sz w:val="20"/>
                <w:szCs w:val="20"/>
              </w:rPr>
            </w:pPr>
            <w:r w:rsidRPr="007424E0">
              <w:rPr>
                <w:rStyle w:val="normaltextrun"/>
                <w:color w:val="000000"/>
                <w:sz w:val="20"/>
                <w:szCs w:val="20"/>
              </w:rPr>
              <w:t>If awarded a 4% allocation, we would immediately return the 2021 9% allocation and move to closing with the new 4% allocation.</w:t>
            </w:r>
            <w:r w:rsidRPr="007424E0">
              <w:rPr>
                <w:rStyle w:val="eop"/>
                <w:color w:val="000000"/>
                <w:sz w:val="20"/>
                <w:szCs w:val="20"/>
              </w:rPr>
              <w:t> </w:t>
            </w:r>
          </w:p>
          <w:p w14:paraId="452087FC" w14:textId="77777777" w:rsidR="00B24E0A" w:rsidRPr="007424E0" w:rsidRDefault="00B24E0A" w:rsidP="00316F75">
            <w:pPr>
              <w:pStyle w:val="paragraph"/>
              <w:spacing w:before="0" w:beforeAutospacing="0" w:after="0" w:afterAutospacing="0"/>
              <w:ind w:firstLine="720"/>
              <w:textAlignment w:val="baseline"/>
              <w:rPr>
                <w:sz w:val="20"/>
                <w:szCs w:val="20"/>
              </w:rPr>
            </w:pPr>
            <w:r w:rsidRPr="007424E0">
              <w:rPr>
                <w:rStyle w:val="normaltextrun"/>
                <w:color w:val="000000"/>
                <w:sz w:val="20"/>
                <w:szCs w:val="20"/>
              </w:rPr>
              <w:t>a. What would the process for returning credits entail?</w:t>
            </w:r>
            <w:r w:rsidRPr="007424E0">
              <w:rPr>
                <w:rStyle w:val="eop"/>
                <w:color w:val="000000"/>
                <w:sz w:val="20"/>
                <w:szCs w:val="20"/>
              </w:rPr>
              <w:t> </w:t>
            </w:r>
          </w:p>
          <w:p w14:paraId="0C0D9AFA" w14:textId="77777777" w:rsidR="00B24E0A" w:rsidRPr="007424E0" w:rsidRDefault="00B24E0A" w:rsidP="00316F75">
            <w:pPr>
              <w:pStyle w:val="paragraph"/>
              <w:spacing w:before="0" w:beforeAutospacing="0" w:after="0" w:afterAutospacing="0"/>
              <w:ind w:left="720"/>
              <w:textAlignment w:val="baseline"/>
              <w:rPr>
                <w:sz w:val="20"/>
                <w:szCs w:val="20"/>
              </w:rPr>
            </w:pPr>
            <w:r w:rsidRPr="007424E0">
              <w:rPr>
                <w:rStyle w:val="normaltextrun"/>
                <w:color w:val="000000"/>
                <w:sz w:val="20"/>
                <w:szCs w:val="20"/>
              </w:rPr>
              <w:t>b. Would there be any additional fees or reimbursement of prior fees paid?</w:t>
            </w:r>
            <w:r w:rsidRPr="007424E0">
              <w:rPr>
                <w:rStyle w:val="eop"/>
                <w:color w:val="000000"/>
                <w:sz w:val="20"/>
                <w:szCs w:val="20"/>
              </w:rPr>
              <w:t> </w:t>
            </w:r>
          </w:p>
          <w:p w14:paraId="00FF26CA" w14:textId="77777777" w:rsidR="00B24E0A" w:rsidRPr="007424E0" w:rsidRDefault="00B24E0A" w:rsidP="00316F75">
            <w:pPr>
              <w:pStyle w:val="paragraph"/>
              <w:spacing w:before="0" w:beforeAutospacing="0" w:after="0" w:afterAutospacing="0"/>
              <w:textAlignment w:val="baseline"/>
              <w:rPr>
                <w:sz w:val="20"/>
                <w:szCs w:val="20"/>
              </w:rPr>
            </w:pPr>
            <w:r w:rsidRPr="007424E0">
              <w:rPr>
                <w:rStyle w:val="eop"/>
                <w:color w:val="000000"/>
                <w:sz w:val="20"/>
                <w:szCs w:val="20"/>
              </w:rPr>
              <w:t> </w:t>
            </w:r>
          </w:p>
          <w:p w14:paraId="577FCF2D" w14:textId="77777777" w:rsidR="00B24E0A" w:rsidRPr="007424E0" w:rsidRDefault="00B24E0A" w:rsidP="00316F75">
            <w:pPr>
              <w:pStyle w:val="paragraph"/>
              <w:spacing w:before="0" w:beforeAutospacing="0" w:after="0" w:afterAutospacing="0"/>
              <w:textAlignment w:val="baseline"/>
              <w:rPr>
                <w:rStyle w:val="eop"/>
                <w:color w:val="000000"/>
                <w:sz w:val="20"/>
                <w:szCs w:val="20"/>
              </w:rPr>
            </w:pPr>
            <w:r w:rsidRPr="007424E0">
              <w:rPr>
                <w:rStyle w:val="normaltextrun"/>
                <w:color w:val="000000"/>
                <w:sz w:val="20"/>
                <w:szCs w:val="20"/>
              </w:rPr>
              <w:t xml:space="preserve">If not awarded a 4% allocation, we would still require an extension of the PIS deadline either directly (per IRS Revenue Procedure 2014-49) or a credit exchange. </w:t>
            </w:r>
            <w:r w:rsidRPr="007424E0">
              <w:rPr>
                <w:rStyle w:val="advancedproofingissue"/>
                <w:color w:val="000000"/>
                <w:sz w:val="20"/>
                <w:szCs w:val="20"/>
              </w:rPr>
              <w:t>Generally speaking, is</w:t>
            </w:r>
            <w:r w:rsidRPr="007424E0">
              <w:rPr>
                <w:rStyle w:val="normaltextrun"/>
                <w:color w:val="000000"/>
                <w:sz w:val="20"/>
                <w:szCs w:val="20"/>
              </w:rPr>
              <w:t xml:space="preserve"> DCA willing to allow us to delay any exchange request until such time that DCA has made its award determination on the proposed 4% application?</w:t>
            </w:r>
            <w:r w:rsidRPr="007424E0">
              <w:rPr>
                <w:rStyle w:val="eop"/>
                <w:color w:val="000000"/>
                <w:sz w:val="20"/>
                <w:szCs w:val="20"/>
              </w:rPr>
              <w:t> </w:t>
            </w:r>
          </w:p>
          <w:p w14:paraId="5D3BC93D" w14:textId="77777777" w:rsidR="00B24E0A" w:rsidRPr="007424E0" w:rsidRDefault="00B24E0A" w:rsidP="00316F75">
            <w:pPr>
              <w:pStyle w:val="paragraph"/>
              <w:spacing w:before="0" w:beforeAutospacing="0" w:after="0" w:afterAutospacing="0"/>
              <w:textAlignment w:val="baseline"/>
              <w:rPr>
                <w:rStyle w:val="eop"/>
                <w:color w:val="000000"/>
                <w:sz w:val="20"/>
                <w:szCs w:val="20"/>
              </w:rPr>
            </w:pPr>
          </w:p>
          <w:p w14:paraId="59A410EF" w14:textId="77777777" w:rsidR="00B24E0A" w:rsidRPr="007424E0" w:rsidRDefault="00B24E0A" w:rsidP="00A93AC0">
            <w:pPr>
              <w:pStyle w:val="paragraph"/>
              <w:spacing w:before="0" w:beforeAutospacing="0" w:after="0" w:afterAutospacing="0"/>
              <w:textAlignment w:val="baseline"/>
              <w:rPr>
                <w:b/>
                <w:bCs/>
                <w:sz w:val="20"/>
                <w:szCs w:val="20"/>
              </w:rPr>
            </w:pPr>
            <w:r w:rsidRPr="007424E0">
              <w:rPr>
                <w:rStyle w:val="eop"/>
                <w:b/>
                <w:bCs/>
                <w:color w:val="000000"/>
                <w:sz w:val="20"/>
                <w:szCs w:val="20"/>
              </w:rPr>
              <w:t>Answer:</w:t>
            </w:r>
          </w:p>
          <w:p w14:paraId="062A909F" w14:textId="77777777" w:rsidR="00B24E0A" w:rsidRPr="007424E0" w:rsidRDefault="00B24E0A" w:rsidP="004D23CA">
            <w:pPr>
              <w:pStyle w:val="paragraph"/>
              <w:spacing w:before="0" w:beforeAutospacing="0" w:after="0" w:afterAutospacing="0"/>
              <w:textAlignment w:val="baseline"/>
              <w:rPr>
                <w:b/>
                <w:bCs/>
                <w:sz w:val="20"/>
                <w:szCs w:val="20"/>
              </w:rPr>
            </w:pPr>
            <w:r w:rsidRPr="007424E0">
              <w:rPr>
                <w:rStyle w:val="normaltextrun"/>
                <w:color w:val="4472C4"/>
                <w:sz w:val="20"/>
                <w:szCs w:val="20"/>
              </w:rPr>
              <w:t>“What would the process for returning credits entail? Would there be any additional fees or reimbursement of prior fees paid?” </w:t>
            </w:r>
            <w:r w:rsidRPr="007424E0">
              <w:rPr>
                <w:rStyle w:val="eop"/>
                <w:color w:val="4472C4"/>
                <w:sz w:val="20"/>
                <w:szCs w:val="20"/>
              </w:rPr>
              <w:t> </w:t>
            </w:r>
          </w:p>
          <w:p w14:paraId="29FAD78A" w14:textId="77777777" w:rsidR="00B24E0A" w:rsidRPr="007424E0" w:rsidRDefault="00B24E0A"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If selected under the 4%/Bonds Competitive Round, you will receive a DCA Consent letter granting approval to submit a </w:t>
            </w:r>
            <w:r w:rsidRPr="007424E0">
              <w:rPr>
                <w:rStyle w:val="contextualspellingandgrammarerror"/>
                <w:rFonts w:eastAsiaTheme="majorEastAsia"/>
                <w:sz w:val="20"/>
                <w:szCs w:val="20"/>
              </w:rPr>
              <w:t>Pre-</w:t>
            </w:r>
            <w:r w:rsidRPr="007424E0">
              <w:rPr>
                <w:rStyle w:val="normaltextrun"/>
                <w:sz w:val="20"/>
                <w:szCs w:val="20"/>
              </w:rPr>
              <w:t xml:space="preserve">Application within 40 days. Upon receiving this notice, please submit official confirmation of your intent to return previously awarded 9% credits.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172B9051" w14:textId="77777777" w:rsidR="00B24E0A" w:rsidRPr="007424E0" w:rsidRDefault="00B24E0A" w:rsidP="004D23CA">
            <w:pPr>
              <w:pStyle w:val="paragraph"/>
              <w:spacing w:before="0" w:beforeAutospacing="0" w:after="0" w:afterAutospacing="0"/>
              <w:textAlignment w:val="baseline"/>
              <w:rPr>
                <w:sz w:val="20"/>
                <w:szCs w:val="20"/>
              </w:rPr>
            </w:pPr>
            <w:r w:rsidRPr="007424E0">
              <w:rPr>
                <w:rStyle w:val="normaltextrun"/>
                <w:color w:val="4472C4"/>
                <w:sz w:val="20"/>
                <w:szCs w:val="20"/>
              </w:rPr>
              <w:t>“Is DCA willing to allow us to delay any exchange request until such time that DCA has made its award determination on the proposed 4% application?”</w:t>
            </w:r>
            <w:r w:rsidRPr="007424E0">
              <w:rPr>
                <w:rStyle w:val="eop"/>
                <w:color w:val="4472C4"/>
                <w:sz w:val="20"/>
                <w:szCs w:val="20"/>
              </w:rPr>
              <w:t> </w:t>
            </w:r>
          </w:p>
          <w:p w14:paraId="7D4C3C54" w14:textId="77777777" w:rsidR="00B24E0A" w:rsidRPr="007424E0" w:rsidRDefault="00B24E0A" w:rsidP="00660A95">
            <w:pPr>
              <w:pStyle w:val="paragraph"/>
              <w:numPr>
                <w:ilvl w:val="0"/>
                <w:numId w:val="66"/>
              </w:numPr>
              <w:spacing w:before="0" w:beforeAutospacing="0" w:after="0" w:afterAutospacing="0"/>
              <w:textAlignment w:val="baseline"/>
              <w:rPr>
                <w:sz w:val="20"/>
                <w:szCs w:val="20"/>
              </w:rPr>
            </w:pPr>
            <w:r w:rsidRPr="007424E0">
              <w:rPr>
                <w:rStyle w:val="normaltextrun"/>
                <w:sz w:val="20"/>
                <w:szCs w:val="20"/>
              </w:rPr>
              <w:t xml:space="preserve">DCA will allow credit exchange request extensions for those waiting on awards from the 4%/Bonds Competitive Round. </w:t>
            </w:r>
            <w:r w:rsidRPr="007424E0">
              <w:rPr>
                <w:rStyle w:val="scxw80676492"/>
                <w:rFonts w:eastAsiaTheme="majorEastAsia"/>
                <w:sz w:val="20"/>
                <w:szCs w:val="20"/>
              </w:rPr>
              <w:t> </w:t>
            </w:r>
            <w:r w:rsidRPr="007424E0">
              <w:rPr>
                <w:sz w:val="20"/>
                <w:szCs w:val="20"/>
              </w:rPr>
              <w:br/>
            </w:r>
            <w:r w:rsidRPr="007424E0">
              <w:rPr>
                <w:rStyle w:val="eop"/>
                <w:sz w:val="20"/>
                <w:szCs w:val="20"/>
              </w:rPr>
              <w:t> </w:t>
            </w:r>
          </w:p>
          <w:p w14:paraId="70B3589A" w14:textId="77777777" w:rsidR="00B24E0A" w:rsidRPr="007424E0" w:rsidRDefault="00B24E0A" w:rsidP="00316F75">
            <w:pPr>
              <w:pStyle w:val="paragraph"/>
              <w:spacing w:before="0" w:beforeAutospacing="0" w:after="0" w:afterAutospacing="0"/>
              <w:textAlignment w:val="baseline"/>
              <w:rPr>
                <w:sz w:val="20"/>
                <w:szCs w:val="20"/>
              </w:rPr>
            </w:pPr>
            <w:r w:rsidRPr="007424E0">
              <w:rPr>
                <w:rStyle w:val="normaltextrun"/>
                <w:sz w:val="20"/>
                <w:szCs w:val="20"/>
              </w:rPr>
              <w:t>At this time, DCA cannot provide more specific guidance for either of the above (e.g., regarding fees).</w:t>
            </w:r>
            <w:r w:rsidRPr="007424E0">
              <w:rPr>
                <w:rStyle w:val="eop"/>
                <w:sz w:val="20"/>
                <w:szCs w:val="20"/>
              </w:rPr>
              <w:t> </w:t>
            </w:r>
          </w:p>
          <w:p w14:paraId="2B5AEFFA" w14:textId="77777777" w:rsidR="00B24E0A" w:rsidRPr="007424E0" w:rsidRDefault="00B24E0A" w:rsidP="64301FE8">
            <w:pPr>
              <w:rPr>
                <w:rFonts w:ascii="Times New Roman" w:eastAsia="Times New Roman" w:hAnsi="Times New Roman" w:cs="Times New Roman"/>
                <w:b/>
                <w:bCs/>
                <w:sz w:val="20"/>
                <w:szCs w:val="20"/>
              </w:rPr>
            </w:pPr>
          </w:p>
        </w:tc>
      </w:tr>
      <w:tr w:rsidR="00B24E0A" w:rsidRPr="007424E0" w14:paraId="0EDAF48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F3A7DB0" w14:textId="77777777" w:rsidR="00B24E0A" w:rsidRPr="007424E0" w:rsidRDefault="00B24E0A" w:rsidP="64301FE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9/22/22</w:t>
            </w:r>
          </w:p>
        </w:tc>
        <w:tc>
          <w:tcPr>
            <w:tcW w:w="2663" w:type="dxa"/>
            <w:shd w:val="clear" w:color="auto" w:fill="auto"/>
            <w:tcMar>
              <w:top w:w="72" w:type="dxa"/>
              <w:left w:w="115" w:type="dxa"/>
              <w:bottom w:w="72" w:type="dxa"/>
              <w:right w:w="115" w:type="dxa"/>
            </w:tcMar>
            <w:vAlign w:val="center"/>
          </w:tcPr>
          <w:p w14:paraId="31F4C5FE"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7.00</w:t>
            </w:r>
          </w:p>
          <w:p w14:paraId="165C8142" w14:textId="77777777" w:rsidR="00B24E0A" w:rsidRPr="007424E0" w:rsidRDefault="00B24E0A" w:rsidP="64301FE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Other</w:t>
            </w:r>
          </w:p>
        </w:tc>
        <w:tc>
          <w:tcPr>
            <w:tcW w:w="9585" w:type="dxa"/>
            <w:shd w:val="clear" w:color="auto" w:fill="auto"/>
            <w:tcMar>
              <w:top w:w="72" w:type="dxa"/>
              <w:left w:w="115" w:type="dxa"/>
              <w:bottom w:w="72" w:type="dxa"/>
              <w:right w:w="115" w:type="dxa"/>
            </w:tcMar>
            <w:vAlign w:val="center"/>
          </w:tcPr>
          <w:p w14:paraId="75D78E99" w14:textId="77777777" w:rsidR="00B24E0A" w:rsidRPr="007424E0" w:rsidRDefault="00B24E0A" w:rsidP="00300A50">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b/>
                <w:bCs/>
                <w:color w:val="000000"/>
                <w:sz w:val="20"/>
                <w:szCs w:val="20"/>
              </w:rPr>
              <w:t>1002055675</w:t>
            </w:r>
            <w:r w:rsidRPr="007424E0">
              <w:rPr>
                <w:rStyle w:val="eop"/>
                <w:b/>
                <w:bCs/>
                <w:color w:val="000000"/>
                <w:sz w:val="20"/>
                <w:szCs w:val="20"/>
              </w:rPr>
              <w:t> </w:t>
            </w:r>
          </w:p>
          <w:p w14:paraId="69868AAD" w14:textId="77777777" w:rsidR="00B24E0A" w:rsidRPr="007424E0" w:rsidRDefault="00B24E0A" w:rsidP="00300A50">
            <w:pPr>
              <w:pStyle w:val="paragraph"/>
              <w:spacing w:before="0" w:beforeAutospacing="0" w:after="0" w:afterAutospacing="0"/>
              <w:textAlignment w:val="baseline"/>
              <w:rPr>
                <w:sz w:val="20"/>
                <w:szCs w:val="20"/>
              </w:rPr>
            </w:pPr>
            <w:r w:rsidRPr="007424E0">
              <w:rPr>
                <w:rStyle w:val="normaltextrun"/>
                <w:color w:val="000000"/>
                <w:sz w:val="20"/>
                <w:szCs w:val="20"/>
              </w:rPr>
              <w:t>The 2022 HOME Manual and Forms button does not work. Could the link be fixed? Thanks</w:t>
            </w:r>
            <w:r w:rsidRPr="007424E0">
              <w:rPr>
                <w:rStyle w:val="scxw100267300"/>
                <w:rFonts w:eastAsiaTheme="majorEastAsia"/>
                <w:color w:val="000000"/>
                <w:sz w:val="20"/>
                <w:szCs w:val="20"/>
              </w:rPr>
              <w:t> </w:t>
            </w:r>
          </w:p>
          <w:p w14:paraId="6982FBDE" w14:textId="77777777" w:rsidR="00B24E0A" w:rsidRPr="007424E0" w:rsidRDefault="00B24E0A" w:rsidP="00300A50">
            <w:pPr>
              <w:pStyle w:val="paragraph"/>
              <w:spacing w:before="0" w:beforeAutospacing="0" w:after="0" w:afterAutospacing="0"/>
              <w:textAlignment w:val="baseline"/>
              <w:rPr>
                <w:sz w:val="20"/>
                <w:szCs w:val="20"/>
              </w:rPr>
            </w:pPr>
            <w:r w:rsidRPr="007424E0">
              <w:rPr>
                <w:rStyle w:val="eop"/>
                <w:color w:val="000000"/>
                <w:sz w:val="20"/>
                <w:szCs w:val="20"/>
              </w:rPr>
              <w:t> </w:t>
            </w:r>
          </w:p>
          <w:p w14:paraId="61055880" w14:textId="77777777" w:rsidR="00B24E0A" w:rsidRPr="007424E0" w:rsidRDefault="00B24E0A" w:rsidP="00300A50">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5211313" w14:textId="77777777" w:rsidR="00B24E0A" w:rsidRPr="007424E0" w:rsidRDefault="00B24E0A" w:rsidP="00300A50">
            <w:pPr>
              <w:pStyle w:val="paragraph"/>
              <w:spacing w:before="0" w:beforeAutospacing="0" w:after="0" w:afterAutospacing="0"/>
              <w:textAlignment w:val="baseline"/>
              <w:rPr>
                <w:sz w:val="20"/>
                <w:szCs w:val="20"/>
              </w:rPr>
            </w:pPr>
            <w:r w:rsidRPr="007424E0">
              <w:rPr>
                <w:rStyle w:val="normaltextrun"/>
                <w:sz w:val="20"/>
                <w:szCs w:val="20"/>
              </w:rPr>
              <w:t>The 2022 HOME Manual and Forms have not yet been posted, but they are also not currently applicable to an open competition:</w:t>
            </w:r>
            <w:r w:rsidRPr="007424E0">
              <w:rPr>
                <w:rStyle w:val="scxw100267300"/>
                <w:rFonts w:eastAsiaTheme="majorEastAsia"/>
                <w:sz w:val="20"/>
                <w:szCs w:val="20"/>
              </w:rPr>
              <w:t> </w:t>
            </w:r>
            <w:r w:rsidRPr="007424E0">
              <w:rPr>
                <w:sz w:val="20"/>
                <w:szCs w:val="20"/>
              </w:rPr>
              <w:br/>
            </w:r>
            <w:r w:rsidRPr="007424E0">
              <w:rPr>
                <w:rStyle w:val="eop"/>
                <w:sz w:val="20"/>
                <w:szCs w:val="20"/>
              </w:rPr>
              <w:t> </w:t>
            </w:r>
          </w:p>
          <w:p w14:paraId="00E57AF3" w14:textId="77777777" w:rsidR="00B24E0A" w:rsidRPr="007424E0" w:rsidRDefault="00B24E0A"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HOME and NHTF are not available as soft funds for the 4%/Bonds Competitive Round. </w:t>
            </w:r>
            <w:r w:rsidRPr="007424E0">
              <w:rPr>
                <w:rStyle w:val="eop"/>
                <w:sz w:val="20"/>
                <w:szCs w:val="20"/>
              </w:rPr>
              <w:t> </w:t>
            </w:r>
          </w:p>
          <w:p w14:paraId="7EAA74D8" w14:textId="77777777" w:rsidR="00B24E0A" w:rsidRPr="007424E0" w:rsidRDefault="00B24E0A" w:rsidP="00660A95">
            <w:pPr>
              <w:pStyle w:val="paragraph"/>
              <w:numPr>
                <w:ilvl w:val="0"/>
                <w:numId w:val="67"/>
              </w:numPr>
              <w:spacing w:before="0" w:beforeAutospacing="0" w:after="0" w:afterAutospacing="0"/>
              <w:textAlignment w:val="baseline"/>
              <w:rPr>
                <w:sz w:val="20"/>
                <w:szCs w:val="20"/>
              </w:rPr>
            </w:pPr>
            <w:r w:rsidRPr="007424E0">
              <w:rPr>
                <w:rStyle w:val="normaltextrun"/>
                <w:sz w:val="20"/>
                <w:szCs w:val="20"/>
              </w:rPr>
              <w:t>For purposes of the Cost Increases NOFA, the posted 2021 HOME manuals and forms are to be used. </w:t>
            </w:r>
            <w:r w:rsidRPr="007424E0">
              <w:rPr>
                <w:rStyle w:val="eop"/>
                <w:sz w:val="20"/>
                <w:szCs w:val="20"/>
              </w:rPr>
              <w:t> </w:t>
            </w:r>
          </w:p>
          <w:p w14:paraId="6C5187FD" w14:textId="77777777" w:rsidR="00B24E0A" w:rsidRPr="007424E0" w:rsidRDefault="00B24E0A" w:rsidP="64301FE8">
            <w:pPr>
              <w:rPr>
                <w:rFonts w:ascii="Times New Roman" w:eastAsia="Times New Roman" w:hAnsi="Times New Roman" w:cs="Times New Roman"/>
                <w:b/>
                <w:bCs/>
                <w:sz w:val="20"/>
                <w:szCs w:val="20"/>
              </w:rPr>
            </w:pPr>
          </w:p>
        </w:tc>
      </w:tr>
      <w:tr w:rsidR="00B24E0A" w:rsidRPr="007424E0" w14:paraId="60F3587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0E32C52"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2627FA64"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1.10</w:t>
            </w:r>
          </w:p>
          <w:p w14:paraId="66BD956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121AB72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25F0291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995414261_2 </w:t>
            </w:r>
          </w:p>
          <w:p w14:paraId="0964D80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Scattered Site - We are applying for 4% credits for two rehabilitation properties. One project is a RAD conversion and the other is a 202 building.  </w:t>
            </w:r>
          </w:p>
          <w:p w14:paraId="7CC076B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7E97DD3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Per the Application Restrictions on p. 12 of the "Core" section, the scattered site is only eligible for consideration if proposing rehabilitation of properties funded by USDA, RAD Conversion, or pre-approved during Pre-Application process.  </w:t>
            </w:r>
          </w:p>
          <w:p w14:paraId="230F705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2256555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Will these projects qualify here since one is a RAD Conversion, or is it disqualified because the 2nd property is not a RAD conversion? </w:t>
            </w:r>
          </w:p>
          <w:p w14:paraId="65157F6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4C4F86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37AF99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w:t>
            </w:r>
            <w:r w:rsidRPr="007424E0">
              <w:rPr>
                <w:rFonts w:ascii="Times New Roman" w:eastAsia="Times New Roman" w:hAnsi="Times New Roman" w:cs="Times New Roman"/>
                <w:i/>
                <w:sz w:val="20"/>
                <w:szCs w:val="20"/>
              </w:rPr>
              <w:t xml:space="preserve"> “…or approved during the Pre-Application process”</w:t>
            </w:r>
            <w:r w:rsidRPr="007424E0">
              <w:rPr>
                <w:rFonts w:ascii="Times New Roman" w:eastAsia="Times New Roman" w:hAnsi="Times New Roman" w:cs="Times New Roman"/>
                <w:sz w:val="20"/>
                <w:szCs w:val="20"/>
              </w:rPr>
              <w:t xml:space="preserve"> language primarily is intended for when DCA accepts Pre-Applications prior to the competitive round for purposes of allowing special circumstances. Under the 2022 4%/Bonds Competitive Round, there is no DCA review of special circumstances prior to the competitive round.  </w:t>
            </w:r>
          </w:p>
          <w:p w14:paraId="6FC5CBB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2258F6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Scattered site applications are allowed under the 4%/Bonds Competitive Round, provided all requirements under </w:t>
            </w:r>
            <w:r w:rsidRPr="007424E0">
              <w:rPr>
                <w:rFonts w:ascii="Times New Roman" w:eastAsia="Times New Roman" w:hAnsi="Times New Roman" w:cs="Times New Roman"/>
                <w:b/>
                <w:bCs/>
                <w:sz w:val="20"/>
                <w:szCs w:val="20"/>
              </w:rPr>
              <w:t>(Core Plan) Eligibility of Certain Project Configurations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Eligibility of Scattered Sites</w:t>
            </w:r>
            <w:r w:rsidRPr="007424E0">
              <w:rPr>
                <w:rFonts w:ascii="Times New Roman" w:eastAsia="Times New Roman" w:hAnsi="Times New Roman" w:cs="Times New Roman"/>
                <w:sz w:val="20"/>
                <w:szCs w:val="20"/>
              </w:rPr>
              <w:t xml:space="preserve"> are met. Further, as stated in this subsection, for purposes of requirements and points eligibility, </w:t>
            </w:r>
            <w:r w:rsidRPr="007424E0">
              <w:rPr>
                <w:rFonts w:ascii="Times New Roman" w:eastAsia="Times New Roman" w:hAnsi="Times New Roman" w:cs="Times New Roman"/>
                <w:i/>
                <w:sz w:val="20"/>
                <w:szCs w:val="20"/>
              </w:rPr>
              <w:t>“Each site must meet all applicable Threshold and Scoring criteria.” </w:t>
            </w:r>
          </w:p>
          <w:p w14:paraId="45FB9E43" w14:textId="77777777" w:rsidR="00B24E0A" w:rsidRPr="007424E0" w:rsidRDefault="00B24E0A" w:rsidP="000F6D48">
            <w:pPr>
              <w:rPr>
                <w:rFonts w:ascii="Times New Roman" w:hAnsi="Times New Roman" w:cs="Times New Roman"/>
                <w:b/>
                <w:bCs/>
                <w:sz w:val="20"/>
                <w:szCs w:val="20"/>
              </w:rPr>
            </w:pPr>
          </w:p>
        </w:tc>
      </w:tr>
      <w:tr w:rsidR="00B24E0A" w:rsidRPr="007424E0" w14:paraId="0DCE819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2969FAE"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1778C21C"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1.12</w:t>
            </w:r>
          </w:p>
          <w:p w14:paraId="0EBB753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Core Plan;</w:t>
            </w:r>
          </w:p>
          <w:p w14:paraId="488D0FB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Eligibility of Certain Project Configurations</w:t>
            </w:r>
          </w:p>
        </w:tc>
        <w:tc>
          <w:tcPr>
            <w:tcW w:w="9585" w:type="dxa"/>
            <w:shd w:val="clear" w:color="auto" w:fill="auto"/>
            <w:tcMar>
              <w:top w:w="72" w:type="dxa"/>
              <w:left w:w="115" w:type="dxa"/>
              <w:bottom w:w="72" w:type="dxa"/>
              <w:right w:w="115" w:type="dxa"/>
            </w:tcMar>
            <w:vAlign w:val="center"/>
          </w:tcPr>
          <w:p w14:paraId="66A154B8" w14:textId="77777777" w:rsidR="00B24E0A" w:rsidRPr="007424E0" w:rsidRDefault="00B24E0A" w:rsidP="000F6D48">
            <w:pPr>
              <w:contextualSpacing/>
              <w:rPr>
                <w:rFonts w:ascii="Times New Roman" w:hAnsi="Times New Roman" w:cs="Times New Roman"/>
                <w:b/>
                <w:bCs/>
                <w:sz w:val="20"/>
                <w:szCs w:val="20"/>
              </w:rPr>
            </w:pPr>
            <w:r w:rsidRPr="007424E0">
              <w:rPr>
                <w:rFonts w:ascii="Times New Roman" w:hAnsi="Times New Roman" w:cs="Times New Roman"/>
                <w:b/>
                <w:bCs/>
                <w:sz w:val="20"/>
                <w:szCs w:val="20"/>
              </w:rPr>
              <w:t xml:space="preserve">Question ID: </w:t>
            </w:r>
            <w:r w:rsidRPr="007424E0">
              <w:rPr>
                <w:rFonts w:ascii="Times New Roman" w:hAnsi="Times New Roman" w:cs="Times New Roman"/>
                <w:sz w:val="20"/>
                <w:szCs w:val="20"/>
              </w:rPr>
              <w:t>995841793 </w:t>
            </w:r>
          </w:p>
          <w:p w14:paraId="563C043D" w14:textId="77777777" w:rsidR="00B24E0A" w:rsidRPr="007424E0" w:rsidRDefault="00B24E0A" w:rsidP="000F6D48">
            <w:pPr>
              <w:rPr>
                <w:rFonts w:ascii="Times New Roman" w:hAnsi="Times New Roman" w:cs="Times New Roman"/>
                <w:sz w:val="20"/>
                <w:szCs w:val="20"/>
              </w:rPr>
            </w:pPr>
            <w:r w:rsidRPr="007424E0">
              <w:rPr>
                <w:rStyle w:val="normaltextrun"/>
                <w:rFonts w:ascii="Times New Roman" w:hAnsi="Times New Roman" w:cs="Times New Roman"/>
                <w:color w:val="000000"/>
                <w:sz w:val="20"/>
                <w:szCs w:val="20"/>
              </w:rPr>
              <w:t xml:space="preserve">When submitting a scattered site project, should each project have a separate Excel Core </w:t>
            </w:r>
            <w:r w:rsidRPr="007424E0">
              <w:rPr>
                <w:rStyle w:val="contextualspellingandgrammarerror"/>
                <w:rFonts w:ascii="Times New Roman" w:hAnsi="Times New Roman" w:cs="Times New Roman"/>
                <w:color w:val="000000"/>
                <w:sz w:val="20"/>
                <w:szCs w:val="20"/>
              </w:rPr>
              <w:t>Application</w:t>
            </w:r>
            <w:r w:rsidRPr="007424E0">
              <w:rPr>
                <w:rStyle w:val="normaltextrun"/>
                <w:rFonts w:ascii="Times New Roman" w:hAnsi="Times New Roman" w:cs="Times New Roman"/>
                <w:color w:val="000000"/>
                <w:sz w:val="20"/>
                <w:szCs w:val="20"/>
              </w:rPr>
              <w:t xml:space="preserve"> or should they be combined in one?</w:t>
            </w:r>
            <w:r w:rsidRPr="007424E0">
              <w:rPr>
                <w:rStyle w:val="eop"/>
                <w:rFonts w:ascii="Times New Roman" w:hAnsi="Times New Roman" w:cs="Times New Roman"/>
                <w:color w:val="000000"/>
                <w:sz w:val="20"/>
                <w:szCs w:val="20"/>
              </w:rPr>
              <w:t> </w:t>
            </w:r>
          </w:p>
          <w:p w14:paraId="577B797E" w14:textId="77777777" w:rsidR="00B24E0A" w:rsidRPr="007424E0" w:rsidRDefault="00B24E0A" w:rsidP="000F6D48">
            <w:pPr>
              <w:rPr>
                <w:rFonts w:ascii="Times New Roman" w:hAnsi="Times New Roman" w:cs="Times New Roman"/>
                <w:sz w:val="20"/>
                <w:szCs w:val="20"/>
              </w:rPr>
            </w:pPr>
            <w:r w:rsidRPr="007424E0">
              <w:rPr>
                <w:rStyle w:val="eop"/>
                <w:rFonts w:ascii="Times New Roman" w:hAnsi="Times New Roman" w:cs="Times New Roman"/>
                <w:color w:val="000000"/>
                <w:sz w:val="20"/>
                <w:szCs w:val="20"/>
              </w:rPr>
              <w:t> </w:t>
            </w:r>
          </w:p>
          <w:p w14:paraId="36F0AEBD"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w:t>
            </w:r>
          </w:p>
          <w:p w14:paraId="4A6C6BF1" w14:textId="77777777" w:rsidR="00B24E0A" w:rsidRPr="007424E0" w:rsidRDefault="00B24E0A" w:rsidP="000F6D48">
            <w:pPr>
              <w:rPr>
                <w:rFonts w:ascii="Times New Roman" w:hAnsi="Times New Roman" w:cs="Times New Roman"/>
                <w:sz w:val="20"/>
                <w:szCs w:val="20"/>
              </w:rPr>
            </w:pPr>
            <w:r w:rsidRPr="007424E0">
              <w:rPr>
                <w:rStyle w:val="normaltextrun"/>
                <w:rFonts w:ascii="Times New Roman" w:hAnsi="Times New Roman" w:cs="Times New Roman"/>
                <w:sz w:val="20"/>
                <w:szCs w:val="20"/>
              </w:rPr>
              <w:t>Scattered site developments should utilize only one Excel Core Application. </w:t>
            </w:r>
          </w:p>
          <w:p w14:paraId="3C75C9E1" w14:textId="77777777" w:rsidR="00B24E0A" w:rsidRPr="007424E0" w:rsidRDefault="00B24E0A" w:rsidP="000F6D48">
            <w:pPr>
              <w:rPr>
                <w:rStyle w:val="normaltextrun"/>
                <w:rFonts w:ascii="Times New Roman" w:hAnsi="Times New Roman" w:cs="Times New Roman"/>
                <w:sz w:val="20"/>
                <w:szCs w:val="20"/>
              </w:rPr>
            </w:pPr>
          </w:p>
        </w:tc>
      </w:tr>
      <w:tr w:rsidR="00B24E0A" w:rsidRPr="007424E0" w14:paraId="6788CAE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64EA1A6"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519C39B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715E13B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41273A35"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8F0DE4B" w14:textId="77777777" w:rsidR="00B24E0A" w:rsidRPr="007424E0" w:rsidRDefault="00B24E0A" w:rsidP="000F6D48">
            <w:pPr>
              <w:pStyle w:val="paragraph"/>
              <w:spacing w:before="0" w:beforeAutospacing="0" w:after="0" w:afterAutospacing="0"/>
              <w:textAlignment w:val="baseline"/>
              <w:rPr>
                <w:sz w:val="20"/>
                <w:szCs w:val="20"/>
              </w:rPr>
            </w:pPr>
            <w:r w:rsidRPr="007424E0">
              <w:rPr>
                <w:b/>
                <w:bCs/>
                <w:sz w:val="20"/>
                <w:szCs w:val="20"/>
              </w:rPr>
              <w:t xml:space="preserve">Question ID: </w:t>
            </w:r>
            <w:r w:rsidRPr="007424E0">
              <w:rPr>
                <w:sz w:val="20"/>
                <w:szCs w:val="20"/>
              </w:rPr>
              <w:t>999018344</w:t>
            </w:r>
            <w:r w:rsidRPr="007424E0">
              <w:rPr>
                <w:rStyle w:val="scxw202753128"/>
                <w:rFonts w:eastAsiaTheme="majorEastAsia"/>
                <w:color w:val="000000" w:themeColor="text1"/>
                <w:sz w:val="20"/>
                <w:szCs w:val="20"/>
              </w:rPr>
              <w:t> </w:t>
            </w:r>
            <w:r w:rsidRPr="007424E0">
              <w:rPr>
                <w:sz w:val="20"/>
                <w:szCs w:val="20"/>
              </w:rPr>
              <w:br/>
            </w:r>
            <w:r w:rsidRPr="007424E0">
              <w:rPr>
                <w:rStyle w:val="normaltextrun"/>
                <w:color w:val="000000" w:themeColor="text1"/>
                <w:sz w:val="20"/>
                <w:szCs w:val="20"/>
              </w:rPr>
              <w:t>Will the Core Application that is due with the Competitive Review proposal in October require a full development budget and operating pro forma completed in accordance with GHFA's underwriting parameters? </w:t>
            </w:r>
            <w:r w:rsidRPr="007424E0">
              <w:rPr>
                <w:rStyle w:val="eop"/>
                <w:rFonts w:eastAsiaTheme="majorEastAsia"/>
                <w:color w:val="000000" w:themeColor="text1"/>
                <w:sz w:val="20"/>
                <w:szCs w:val="20"/>
              </w:rPr>
              <w:t> </w:t>
            </w:r>
          </w:p>
          <w:p w14:paraId="6B8CB15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Theme="majorEastAsia"/>
                <w:color w:val="000000"/>
                <w:sz w:val="20"/>
                <w:szCs w:val="20"/>
              </w:rPr>
              <w:t> </w:t>
            </w:r>
          </w:p>
          <w:p w14:paraId="0F7B7AF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If so, to what degree will GHFA allow changes to the numbers from one stage (Competitive Review) to another (Full Application), understanding that in the best of circumstances, there will be a lag of at least six to eight months, which in the current economic environment could see quite a bit of change - for good or bad?</w:t>
            </w:r>
            <w:r w:rsidRPr="007424E0">
              <w:rPr>
                <w:rStyle w:val="scxw202753128"/>
                <w:rFonts w:eastAsiaTheme="majorEastAsia"/>
                <w:color w:val="000000"/>
                <w:sz w:val="20"/>
                <w:szCs w:val="20"/>
              </w:rPr>
              <w:t> </w:t>
            </w:r>
            <w:r w:rsidRPr="007424E0">
              <w:rPr>
                <w:color w:val="000000"/>
                <w:sz w:val="20"/>
                <w:szCs w:val="20"/>
              </w:rPr>
              <w:br/>
            </w:r>
            <w:r w:rsidRPr="007424E0">
              <w:rPr>
                <w:rStyle w:val="eop"/>
                <w:rFonts w:eastAsiaTheme="majorEastAsia"/>
                <w:color w:val="000000"/>
                <w:sz w:val="20"/>
                <w:szCs w:val="20"/>
              </w:rPr>
              <w:t> </w:t>
            </w:r>
          </w:p>
          <w:p w14:paraId="0F295064" w14:textId="77777777" w:rsidR="00B24E0A" w:rsidRPr="007424E0" w:rsidRDefault="00B24E0A"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3EFDCD1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For the first question: DCA understands that the development budget estimates will need to be updated between the Competitive Review Submission and the Full Application. </w:t>
            </w:r>
            <w:r w:rsidRPr="007424E0">
              <w:rPr>
                <w:rStyle w:val="advancedproofingissue"/>
                <w:sz w:val="20"/>
                <w:szCs w:val="20"/>
              </w:rPr>
              <w:t>This is why</w:t>
            </w:r>
            <w:r w:rsidRPr="007424E0">
              <w:rPr>
                <w:rStyle w:val="normaltextrun"/>
                <w:sz w:val="20"/>
                <w:szCs w:val="20"/>
              </w:rPr>
              <w:t xml:space="preserve">, per </w:t>
            </w:r>
            <w:r w:rsidRPr="007424E0">
              <w:rPr>
                <w:rStyle w:val="normaltextrun"/>
                <w:b/>
                <w:bCs/>
                <w:sz w:val="20"/>
                <w:szCs w:val="20"/>
              </w:rPr>
              <w:t>(Threshold Criteria) Applicability of Threshold Criteria</w:t>
            </w:r>
            <w:r w:rsidRPr="007424E0">
              <w:rPr>
                <w:rStyle w:val="normaltextrun"/>
                <w:sz w:val="20"/>
                <w:szCs w:val="20"/>
              </w:rPr>
              <w:t xml:space="preserve">, applicants will not be strictly held to the standards of </w:t>
            </w:r>
            <w:r w:rsidRPr="007424E0">
              <w:rPr>
                <w:rStyle w:val="normaltextrun"/>
                <w:b/>
                <w:bCs/>
                <w:sz w:val="20"/>
                <w:szCs w:val="20"/>
              </w:rPr>
              <w:t xml:space="preserve">Project Feasibility </w:t>
            </w:r>
            <w:r w:rsidRPr="007424E0">
              <w:rPr>
                <w:rStyle w:val="normaltextrun"/>
                <w:sz w:val="20"/>
                <w:szCs w:val="20"/>
              </w:rPr>
              <w:t>at the time of the Competitive Review Submission.</w:t>
            </w:r>
            <w:r w:rsidRPr="007424E0">
              <w:rPr>
                <w:rStyle w:val="eop"/>
                <w:rFonts w:eastAsiaTheme="majorEastAsia"/>
                <w:sz w:val="20"/>
                <w:szCs w:val="20"/>
              </w:rPr>
              <w:t> </w:t>
            </w:r>
          </w:p>
          <w:p w14:paraId="29B0DC9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010C724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If selected under 2022 4%/Bonds Round, the applicant will be required to pass all </w:t>
            </w:r>
            <w:r w:rsidRPr="007424E0">
              <w:rPr>
                <w:rStyle w:val="normaltextrun"/>
                <w:b/>
                <w:bCs/>
                <w:sz w:val="20"/>
                <w:szCs w:val="20"/>
              </w:rPr>
              <w:t>Project Feasibility</w:t>
            </w:r>
            <w:r w:rsidRPr="007424E0">
              <w:rPr>
                <w:rStyle w:val="normaltextrun"/>
                <w:sz w:val="20"/>
                <w:szCs w:val="20"/>
              </w:rPr>
              <w:t xml:space="preserve"> requirements as part of the Full Application submission. </w:t>
            </w:r>
            <w:r w:rsidRPr="007424E0">
              <w:rPr>
                <w:rStyle w:val="eop"/>
                <w:rFonts w:eastAsiaTheme="majorEastAsia"/>
                <w:sz w:val="20"/>
                <w:szCs w:val="20"/>
              </w:rPr>
              <w:t> </w:t>
            </w:r>
          </w:p>
          <w:p w14:paraId="55885E8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6B9EB03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However, applicants should not expect to be able to increase the bonds requested, as tax-exempt bonds are, for the time being, a scarce resource. Filling out the development budget and pro forma at the Competitive Review stage is to ensure DCA underwriters have information to work with in assessing whether the estimates and assumptions underlying the bonds request are reasonable and realistic. </w:t>
            </w:r>
            <w:r w:rsidRPr="007424E0">
              <w:rPr>
                <w:rStyle w:val="eop"/>
                <w:rFonts w:eastAsiaTheme="majorEastAsia"/>
                <w:sz w:val="20"/>
                <w:szCs w:val="20"/>
              </w:rPr>
              <w:t> </w:t>
            </w:r>
          </w:p>
          <w:p w14:paraId="41DA1C9F" w14:textId="77777777" w:rsidR="00B24E0A" w:rsidRPr="007424E0" w:rsidRDefault="00B24E0A" w:rsidP="000F6D48">
            <w:pPr>
              <w:pStyle w:val="paragraph"/>
              <w:spacing w:before="0" w:beforeAutospacing="0" w:after="0" w:afterAutospacing="0"/>
              <w:textAlignment w:val="baseline"/>
              <w:rPr>
                <w:rStyle w:val="eop"/>
                <w:sz w:val="20"/>
                <w:szCs w:val="20"/>
              </w:rPr>
            </w:pPr>
          </w:p>
        </w:tc>
      </w:tr>
      <w:tr w:rsidR="00B24E0A" w:rsidRPr="007424E0" w14:paraId="34873F0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5DD53F8"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16EB063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515A63DD"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13B6071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493B46E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1006350748 </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We are preparing our 4% Competitive Review Submission.  </w:t>
            </w:r>
          </w:p>
          <w:p w14:paraId="021C4A0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250281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understand that certain environmental reports are required by the 10/14/2022 deadline, but we are not clear whether a complete Asbestos, Lead, and Radon Report are required at that time, or whether providing evidence that they have been engaged and are underway would be sufficient.  </w:t>
            </w:r>
          </w:p>
          <w:p w14:paraId="281F9DE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FF98EB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would be able to submit the Phase I ESA, Noise Study, 50-Year Chain of Title, and Lien Search requirements by the 10/14/2022 deadline.  But the timing to obtain an Asbestos, Lead, and Radon Report is 60 days out, so we would have those separate reports shortly after the 10/14/2022 deadline.   </w:t>
            </w:r>
          </w:p>
          <w:p w14:paraId="03E40C1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EB0CED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FFC951B" w14:textId="77777777" w:rsidR="00B24E0A" w:rsidRPr="007424E0" w:rsidRDefault="00B24E0A" w:rsidP="000F6D48">
            <w:pPr>
              <w:textAlignment w:val="baseline"/>
              <w:rPr>
                <w:rFonts w:ascii="Times New Roman" w:eastAsia="Times New Roman" w:hAnsi="Times New Roman" w:cs="Times New Roman"/>
                <w:color w:val="333333"/>
                <w:sz w:val="20"/>
                <w:szCs w:val="20"/>
              </w:rPr>
            </w:pPr>
            <w:r w:rsidRPr="007424E0">
              <w:rPr>
                <w:rFonts w:ascii="Times New Roman" w:eastAsia="Times New Roman" w:hAnsi="Times New Roman" w:cs="Times New Roman"/>
                <w:color w:val="333333"/>
                <w:sz w:val="20"/>
                <w:szCs w:val="20"/>
              </w:rPr>
              <w:t>According to the DCA Environmental Review Manual, the asbestos survey, lead inspection and radon report are required to be included in Phase I ESA at the time of application. Providing only evidence that these reports have been engaged and are underway would not be sufficient and would be considered an incomplete environmental report for the application.  </w:t>
            </w:r>
          </w:p>
          <w:p w14:paraId="57F0F5B6" w14:textId="77777777" w:rsidR="00B24E0A" w:rsidRPr="007424E0" w:rsidRDefault="00B24E0A" w:rsidP="000F6D48">
            <w:pPr>
              <w:textAlignment w:val="baseline"/>
              <w:rPr>
                <w:rFonts w:ascii="Times New Roman" w:eastAsia="Times New Roman" w:hAnsi="Times New Roman" w:cs="Times New Roman"/>
                <w:sz w:val="20"/>
                <w:szCs w:val="20"/>
              </w:rPr>
            </w:pPr>
          </w:p>
          <w:p w14:paraId="520F3D3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333333"/>
                <w:sz w:val="20"/>
                <w:szCs w:val="20"/>
              </w:rPr>
              <w:t xml:space="preserve">For more information on “incomplete document” penalties, please review </w:t>
            </w:r>
            <w:r w:rsidRPr="007424E0">
              <w:rPr>
                <w:rFonts w:ascii="Times New Roman" w:eastAsia="Times New Roman" w:hAnsi="Times New Roman" w:cs="Times New Roman"/>
                <w:b/>
                <w:bCs/>
                <w:color w:val="333333"/>
                <w:sz w:val="20"/>
                <w:szCs w:val="20"/>
              </w:rPr>
              <w:t>(Scoring Criteria) Application Completeness</w:t>
            </w:r>
            <w:r w:rsidRPr="007424E0">
              <w:rPr>
                <w:rFonts w:ascii="Times New Roman" w:eastAsia="Times New Roman" w:hAnsi="Times New Roman" w:cs="Times New Roman"/>
                <w:color w:val="333333"/>
                <w:sz w:val="20"/>
                <w:szCs w:val="20"/>
              </w:rPr>
              <w:t>.  </w:t>
            </w:r>
          </w:p>
          <w:p w14:paraId="2DABD7EC"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2569810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38964D4"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08EDF3D5"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2.20</w:t>
            </w:r>
          </w:p>
          <w:p w14:paraId="2BAFEB8D"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w:t>
            </w:r>
          </w:p>
          <w:p w14:paraId="16EC4A68"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Experience, Capacity, and Performance Requirements</w:t>
            </w:r>
          </w:p>
        </w:tc>
        <w:tc>
          <w:tcPr>
            <w:tcW w:w="9585" w:type="dxa"/>
            <w:shd w:val="clear" w:color="auto" w:fill="auto"/>
            <w:tcMar>
              <w:top w:w="72" w:type="dxa"/>
              <w:left w:w="115" w:type="dxa"/>
              <w:bottom w:w="72" w:type="dxa"/>
              <w:right w:w="115" w:type="dxa"/>
            </w:tcMar>
            <w:vAlign w:val="center"/>
          </w:tcPr>
          <w:p w14:paraId="01EF2484"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color w:val="000000" w:themeColor="text1"/>
                <w:sz w:val="20"/>
                <w:szCs w:val="20"/>
              </w:rPr>
              <w:t>998963315_2 </w:t>
            </w:r>
          </w:p>
          <w:p w14:paraId="4E58A04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Since there is no pre-application for the 4% credits, do we need a Qualified Determination from DCA? </w:t>
            </w:r>
          </w:p>
          <w:p w14:paraId="390A038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503688A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One of our projects received a Qualified Determination from DCA when submitting for 9% applications. For the 4% round, we are submitting a separate application for a different property. Both teams are the same except the borrower entity is a single purpose entity, therefore different for the projects.  </w:t>
            </w:r>
          </w:p>
          <w:p w14:paraId="5724EEA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themeColor="text1"/>
                <w:sz w:val="20"/>
                <w:szCs w:val="20"/>
              </w:rPr>
              <w:t> </w:t>
            </w:r>
          </w:p>
          <w:p w14:paraId="3EE4EFF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We will be using the Qualified Determination from DCA for the first project. Are we approaching this correctly? </w:t>
            </w:r>
            <w:r w:rsidRPr="007424E0">
              <w:rPr>
                <w:rFonts w:ascii="Times New Roman" w:eastAsia="Times New Roman" w:hAnsi="Times New Roman" w:cs="Times New Roman"/>
                <w:color w:val="000000"/>
                <w:sz w:val="20"/>
                <w:szCs w:val="20"/>
              </w:rPr>
              <w:br/>
              <w:t> </w:t>
            </w:r>
          </w:p>
          <w:p w14:paraId="6FD6820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347930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Competitive Review Submission due October 14</w:t>
            </w:r>
            <w:r w:rsidRPr="007424E0">
              <w:rPr>
                <w:rFonts w:ascii="Times New Roman" w:eastAsia="Times New Roman" w:hAnsi="Times New Roman" w:cs="Times New Roman"/>
                <w:sz w:val="20"/>
                <w:szCs w:val="20"/>
                <w:vertAlign w:val="superscript"/>
              </w:rPr>
              <w:t>th</w:t>
            </w:r>
            <w:r w:rsidRPr="007424E0">
              <w:rPr>
                <w:rFonts w:ascii="Times New Roman" w:eastAsia="Times New Roman" w:hAnsi="Times New Roman" w:cs="Times New Roman"/>
                <w:sz w:val="20"/>
                <w:szCs w:val="20"/>
              </w:rPr>
              <w:t xml:space="preserve"> must include documentation to meet all requirements for </w:t>
            </w:r>
            <w:r w:rsidRPr="007424E0">
              <w:rPr>
                <w:rFonts w:ascii="Times New Roman" w:eastAsia="Times New Roman" w:hAnsi="Times New Roman" w:cs="Times New Roman"/>
                <w:b/>
                <w:bCs/>
                <w:sz w:val="20"/>
                <w:szCs w:val="20"/>
              </w:rPr>
              <w:t>(Threshold Criteria) Experience, Capacity, and Performance Requirements for General Partners and Developer Entities</w:t>
            </w: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b/>
                <w:bCs/>
                <w:sz w:val="20"/>
                <w:szCs w:val="20"/>
              </w:rPr>
              <w:t xml:space="preserve"> </w:t>
            </w:r>
            <w:r w:rsidRPr="007424E0">
              <w:rPr>
                <w:rFonts w:ascii="Times New Roman" w:eastAsia="Times New Roman" w:hAnsi="Times New Roman" w:cs="Times New Roman"/>
                <w:sz w:val="20"/>
                <w:szCs w:val="20"/>
              </w:rPr>
              <w:t>You do need a qualification determination from DCA for purposes of the 2022 4%/Bonds Competitive Round. Please review “Required Documents” in the Competitive Round Announcement (</w:t>
            </w:r>
            <w:hyperlink r:id="rId26"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w:t>
            </w:r>
          </w:p>
          <w:p w14:paraId="3BE01B7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F8B106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the second question: subsection </w:t>
            </w:r>
            <w:r w:rsidRPr="007424E0">
              <w:rPr>
                <w:rFonts w:ascii="Times New Roman" w:eastAsia="Times New Roman" w:hAnsi="Times New Roman" w:cs="Times New Roman"/>
                <w:b/>
                <w:bCs/>
                <w:sz w:val="20"/>
                <w:szCs w:val="20"/>
              </w:rPr>
              <w:t>B. Requirements for Capacity</w:t>
            </w:r>
            <w:r w:rsidRPr="007424E0">
              <w:rPr>
                <w:rFonts w:ascii="Times New Roman" w:eastAsia="Times New Roman" w:hAnsi="Times New Roman" w:cs="Times New Roman"/>
                <w:sz w:val="20"/>
                <w:szCs w:val="20"/>
              </w:rPr>
              <w:t xml:space="preserve"> is project specific. This section states that capacity is assessed by looking at the applicant’s track record regarding “similar developments considering size, complexity and scope.”  </w:t>
            </w:r>
          </w:p>
          <w:p w14:paraId="35012DA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940A77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that the size, complexity, or scope varies between the two developments (e.g., the unit count for the 4%/Bonds Round application will be larger than what was approved for the 9% application), then please re-submit all documentation, include the QD letter received from DCA for purposes of the 2022 9% Round, and for purposes of the 4%/Bonds Round DCA will conduct the subsection </w:t>
            </w:r>
            <w:r w:rsidRPr="007424E0">
              <w:rPr>
                <w:rFonts w:ascii="Times New Roman" w:eastAsia="Times New Roman" w:hAnsi="Times New Roman" w:cs="Times New Roman"/>
                <w:b/>
                <w:bCs/>
                <w:sz w:val="20"/>
                <w:szCs w:val="20"/>
              </w:rPr>
              <w:t xml:space="preserve">B. Requirements for Capacity </w:t>
            </w:r>
            <w:r w:rsidRPr="007424E0">
              <w:rPr>
                <w:rFonts w:ascii="Times New Roman" w:eastAsia="Times New Roman" w:hAnsi="Times New Roman" w:cs="Times New Roman"/>
                <w:sz w:val="20"/>
                <w:szCs w:val="20"/>
              </w:rPr>
              <w:t>review.  </w:t>
            </w:r>
          </w:p>
          <w:p w14:paraId="10659DF5" w14:textId="77777777" w:rsidR="00B24E0A" w:rsidRPr="007424E0" w:rsidRDefault="00B24E0A" w:rsidP="000F6D48">
            <w:pPr>
              <w:textAlignment w:val="baseline"/>
              <w:rPr>
                <w:rFonts w:ascii="Times New Roman" w:eastAsia="Times New Roman" w:hAnsi="Times New Roman" w:cs="Times New Roman"/>
                <w:sz w:val="20"/>
                <w:szCs w:val="20"/>
              </w:rPr>
            </w:pPr>
          </w:p>
        </w:tc>
      </w:tr>
      <w:tr w:rsidR="00B24E0A" w:rsidRPr="007424E0" w14:paraId="68D1DA2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B884FF2"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9/15/22</w:t>
            </w:r>
          </w:p>
        </w:tc>
        <w:tc>
          <w:tcPr>
            <w:tcW w:w="2663" w:type="dxa"/>
            <w:shd w:val="clear" w:color="auto" w:fill="auto"/>
            <w:tcMar>
              <w:top w:w="72" w:type="dxa"/>
              <w:left w:w="115" w:type="dxa"/>
              <w:bottom w:w="72" w:type="dxa"/>
              <w:right w:w="115" w:type="dxa"/>
            </w:tcMar>
            <w:vAlign w:val="center"/>
          </w:tcPr>
          <w:p w14:paraId="176FE5A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3.02</w:t>
            </w:r>
          </w:p>
          <w:p w14:paraId="3ACA49B4"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7D7A58E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59B17FF1" w14:textId="77777777" w:rsidR="00B24E0A" w:rsidRPr="007424E0" w:rsidRDefault="00B24E0A" w:rsidP="000F6D48">
            <w:pPr>
              <w:contextualSpacing/>
              <w:rPr>
                <w:rFonts w:ascii="Times New Roman" w:eastAsia="Calibri" w:hAnsi="Times New Roman" w:cs="Times New Roman"/>
                <w:color w:val="000000" w:themeColor="text1"/>
                <w:sz w:val="20"/>
                <w:szCs w:val="20"/>
              </w:rPr>
            </w:pPr>
            <w:r w:rsidRPr="007424E0">
              <w:rPr>
                <w:rFonts w:ascii="Times New Roman" w:hAnsi="Times New Roman" w:cs="Times New Roman"/>
                <w:b/>
                <w:bCs/>
                <w:sz w:val="20"/>
                <w:szCs w:val="20"/>
              </w:rPr>
              <w:t xml:space="preserve">Question ID: </w:t>
            </w:r>
            <w:r w:rsidRPr="007424E0">
              <w:rPr>
                <w:rFonts w:ascii="Times New Roman" w:eastAsia="Calibri" w:hAnsi="Times New Roman" w:cs="Times New Roman"/>
                <w:color w:val="000000" w:themeColor="text1"/>
                <w:sz w:val="20"/>
                <w:szCs w:val="20"/>
              </w:rPr>
              <w:t>996606345_2</w:t>
            </w:r>
            <w:r w:rsidRPr="007424E0">
              <w:rPr>
                <w:rFonts w:ascii="Times New Roman" w:hAnsi="Times New Roman" w:cs="Times New Roman"/>
                <w:sz w:val="20"/>
                <w:szCs w:val="20"/>
              </w:rPr>
              <w:br/>
            </w:r>
            <w:r w:rsidRPr="007424E0">
              <w:rPr>
                <w:rFonts w:ascii="Times New Roman" w:eastAsia="Calibri" w:hAnsi="Times New Roman" w:cs="Times New Roman"/>
                <w:color w:val="000000" w:themeColor="text1"/>
                <w:sz w:val="20"/>
                <w:szCs w:val="20"/>
              </w:rPr>
              <w:t>There are differing point values between the 9% and 4% scoring categories but within each category there is no guidance on how those points are discounted from 9% to 4%, for example: the max score for community transportation for a 9% deal is 6 points however the max points for a 4% is only 4 and there is no guidance as to what is and is not applicable to account for the 2 point difference within the QAP. I have similar questions about: Desirable/Undesirables, Quality Education, Revitalization/Redevelopment Plans, Stable Communities, Community Designations, and Favorable Financing.</w:t>
            </w:r>
          </w:p>
          <w:p w14:paraId="09861B4B" w14:textId="77777777" w:rsidR="00B24E0A" w:rsidRPr="007424E0" w:rsidRDefault="00B24E0A" w:rsidP="000F6D48">
            <w:pPr>
              <w:contextualSpacing/>
              <w:rPr>
                <w:rFonts w:ascii="Times New Roman" w:eastAsia="Times New Roman" w:hAnsi="Times New Roman" w:cs="Times New Roman"/>
                <w:color w:val="000000" w:themeColor="text1"/>
                <w:sz w:val="20"/>
                <w:szCs w:val="20"/>
              </w:rPr>
            </w:pPr>
          </w:p>
          <w:p w14:paraId="78D1BE72"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1841014"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(Scoring Criteria) Applicability of Scoring Criteria</w:t>
            </w:r>
            <w:r w:rsidRPr="007424E0">
              <w:rPr>
                <w:rFonts w:ascii="Times New Roman" w:hAnsi="Times New Roman" w:cs="Times New Roman"/>
                <w:sz w:val="20"/>
                <w:szCs w:val="20"/>
              </w:rPr>
              <w:t xml:space="preserve"> states: This means that applicants can claim points in a section for any option that they qualify for, but the number of points that contribute to the application score for purposes of the 4%/Bonds Competitive Round will be limited by the maximum listed in the table. </w:t>
            </w:r>
          </w:p>
          <w:p w14:paraId="6269A20F" w14:textId="77777777" w:rsidR="00B24E0A" w:rsidRPr="007424E0" w:rsidRDefault="00B24E0A" w:rsidP="000F6D48">
            <w:pPr>
              <w:contextualSpacing/>
              <w:rPr>
                <w:rFonts w:ascii="Times New Roman" w:hAnsi="Times New Roman" w:cs="Times New Roman"/>
                <w:sz w:val="20"/>
                <w:szCs w:val="20"/>
              </w:rPr>
            </w:pPr>
          </w:p>
          <w:p w14:paraId="097B0EA4"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While there are point limitation differences between 9% and 4% applications for certain scoring sections, there is otherwise no difference in how a 9% application or a 4% application would be prepared for the same scoring section. </w:t>
            </w:r>
          </w:p>
          <w:p w14:paraId="50ED605A" w14:textId="77777777" w:rsidR="00B24E0A" w:rsidRPr="007424E0" w:rsidRDefault="00B24E0A" w:rsidP="000F6D48">
            <w:pPr>
              <w:contextualSpacing/>
              <w:rPr>
                <w:rFonts w:ascii="Times New Roman" w:hAnsi="Times New Roman" w:cs="Times New Roman"/>
                <w:sz w:val="20"/>
                <w:szCs w:val="20"/>
              </w:rPr>
            </w:pPr>
          </w:p>
          <w:p w14:paraId="3D962E11"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 xml:space="preserve">The below examples compare two hypothetical 4%/Bonds Round applications: </w:t>
            </w:r>
          </w:p>
          <w:p w14:paraId="4572260E" w14:textId="77777777" w:rsidR="00B24E0A" w:rsidRPr="007424E0" w:rsidRDefault="00B24E0A" w:rsidP="000F6D48">
            <w:pPr>
              <w:contextualSpacing/>
              <w:rPr>
                <w:rFonts w:ascii="Times New Roman" w:hAnsi="Times New Roman" w:cs="Times New Roman"/>
                <w:sz w:val="20"/>
                <w:szCs w:val="20"/>
              </w:rPr>
            </w:pPr>
          </w:p>
          <w:p w14:paraId="472AC5CC" w14:textId="77777777" w:rsidR="00B24E0A" w:rsidRPr="007424E0" w:rsidRDefault="00B24E0A"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Community Transportation Options</w:t>
            </w:r>
            <w:r w:rsidRPr="007424E0">
              <w:rPr>
                <w:rFonts w:ascii="Times New Roman" w:hAnsi="Times New Roman" w:cs="Times New Roman"/>
                <w:sz w:val="20"/>
                <w:szCs w:val="20"/>
              </w:rPr>
              <w:t xml:space="preserve"> is 4 points. Suppose two applications claim points under subsection </w:t>
            </w:r>
            <w:r w:rsidRPr="007424E0">
              <w:rPr>
                <w:rFonts w:ascii="Times New Roman" w:hAnsi="Times New Roman" w:cs="Times New Roman"/>
                <w:b/>
                <w:bCs/>
                <w:sz w:val="20"/>
                <w:szCs w:val="20"/>
              </w:rPr>
              <w:t>A. Transit-Oriented Development</w:t>
            </w:r>
            <w:r w:rsidRPr="007424E0">
              <w:rPr>
                <w:rFonts w:ascii="Times New Roman" w:hAnsi="Times New Roman" w:cs="Times New Roman"/>
                <w:sz w:val="20"/>
                <w:szCs w:val="20"/>
              </w:rPr>
              <w:t xml:space="preserve">. One application is 0.25 miles from a transit hub and the other is 1 mile from a transit hub. Both will only receive 4 points. </w:t>
            </w:r>
            <w:r w:rsidRPr="007424E0">
              <w:rPr>
                <w:rFonts w:ascii="Times New Roman" w:hAnsi="Times New Roman" w:cs="Times New Roman"/>
                <w:sz w:val="20"/>
                <w:szCs w:val="20"/>
              </w:rPr>
              <w:br/>
            </w:r>
          </w:p>
          <w:p w14:paraId="4EF2ED5D" w14:textId="77777777" w:rsidR="00B24E0A" w:rsidRPr="007424E0" w:rsidRDefault="00B24E0A"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Desirable/Undesirable Activities</w:t>
            </w:r>
            <w:r w:rsidRPr="007424E0">
              <w:rPr>
                <w:rFonts w:ascii="Times New Roman" w:hAnsi="Times New Roman" w:cs="Times New Roman"/>
                <w:sz w:val="20"/>
                <w:szCs w:val="20"/>
              </w:rPr>
              <w:t xml:space="preserve"> is 12 points. Suppose one application claims 18 points under this section and another 12 points. Both will only receive 12 points. </w:t>
            </w:r>
            <w:r w:rsidRPr="007424E0">
              <w:rPr>
                <w:rFonts w:ascii="Times New Roman" w:hAnsi="Times New Roman" w:cs="Times New Roman"/>
                <w:sz w:val="20"/>
                <w:szCs w:val="20"/>
              </w:rPr>
              <w:br/>
            </w:r>
          </w:p>
          <w:p w14:paraId="5888E2D9" w14:textId="77777777" w:rsidR="00B24E0A" w:rsidRPr="007424E0" w:rsidRDefault="00B24E0A" w:rsidP="000F6D48">
            <w:pPr>
              <w:pStyle w:val="ListParagraph"/>
              <w:numPr>
                <w:ilvl w:val="0"/>
                <w:numId w:val="64"/>
              </w:numPr>
              <w:rPr>
                <w:rFonts w:ascii="Times New Roman" w:hAnsi="Times New Roman" w:cs="Times New Roman"/>
                <w:sz w:val="20"/>
                <w:szCs w:val="20"/>
              </w:rPr>
            </w:pPr>
            <w:r w:rsidRPr="007424E0">
              <w:rPr>
                <w:rFonts w:ascii="Times New Roman" w:hAnsi="Times New Roman" w:cs="Times New Roman"/>
                <w:sz w:val="20"/>
                <w:szCs w:val="20"/>
              </w:rPr>
              <w:t xml:space="preserve">The 4% maximum for </w:t>
            </w:r>
            <w:r w:rsidRPr="007424E0">
              <w:rPr>
                <w:rFonts w:ascii="Times New Roman" w:hAnsi="Times New Roman" w:cs="Times New Roman"/>
                <w:b/>
                <w:bCs/>
                <w:sz w:val="20"/>
                <w:szCs w:val="20"/>
              </w:rPr>
              <w:t>Quality Education Areas</w:t>
            </w:r>
            <w:r w:rsidRPr="007424E0">
              <w:rPr>
                <w:rFonts w:ascii="Times New Roman" w:hAnsi="Times New Roman" w:cs="Times New Roman"/>
                <w:sz w:val="20"/>
                <w:szCs w:val="20"/>
              </w:rPr>
              <w:t xml:space="preserve"> is 2 points. Suppose for two applications, both have qualifying schools serving all grades K-12. One application is family tenancy and the other HFOP tenancy. Both will only receive 2 points. </w:t>
            </w:r>
          </w:p>
          <w:p w14:paraId="16738569"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49603B9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5AB9955"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326396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5C760BD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37B16A5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2C492B4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rPr>
              <w:t>Question ID:</w:t>
            </w:r>
            <w:r w:rsidRPr="007424E0">
              <w:rPr>
                <w:rFonts w:ascii="Times New Roman" w:hAnsi="Times New Roman" w:cs="Times New Roman"/>
                <w:sz w:val="20"/>
                <w:szCs w:val="20"/>
              </w:rPr>
              <w:t xml:space="preserve"> 966591811 </w:t>
            </w:r>
          </w:p>
          <w:p w14:paraId="0E0EFC7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Pages 5-6 of the QAP's Threshold section state: </w:t>
            </w:r>
          </w:p>
          <w:p w14:paraId="6FF7623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0080297C" w14:textId="77777777" w:rsidR="00B24E0A" w:rsidRPr="007424E0" w:rsidRDefault="00B24E0A" w:rsidP="000F6D48">
            <w:pPr>
              <w:rPr>
                <w:rFonts w:ascii="Times New Roman" w:hAnsi="Times New Roman" w:cs="Times New Roman"/>
                <w:b/>
                <w:bCs/>
                <w:sz w:val="20"/>
                <w:szCs w:val="20"/>
              </w:rPr>
            </w:pPr>
            <w:r w:rsidRPr="007424E0">
              <w:rPr>
                <w:rFonts w:ascii="Times New Roman" w:hAnsi="Times New Roman" w:cs="Times New Roman"/>
                <w:b/>
                <w:bCs/>
                <w:color w:val="000000"/>
                <w:sz w:val="20"/>
                <w:szCs w:val="20"/>
              </w:rPr>
              <w:t>8. Project Based Rental Assistance (PBRA)/Rental Assistance Demonstration Program (RAD):  </w:t>
            </w:r>
          </w:p>
          <w:p w14:paraId="4FC4286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i/>
                <w:iCs/>
                <w:color w:val="000000"/>
                <w:sz w:val="20"/>
                <w:szCs w:val="20"/>
              </w:rPr>
              <w:t>Projects with PBRA that have less than ten years remaining from Application Submission Date, must be underwritten within the maximum tax credit rents and/or HOME rents, as applicable. (All units with High HOME rents and PBRA must be underwritten at the maximum HOME rent).</w:t>
            </w:r>
            <w:r w:rsidRPr="007424E0">
              <w:rPr>
                <w:rFonts w:ascii="Times New Roman" w:hAnsi="Times New Roman" w:cs="Times New Roman"/>
                <w:color w:val="000000"/>
                <w:sz w:val="20"/>
                <w:szCs w:val="20"/>
              </w:rPr>
              <w:t> </w:t>
            </w:r>
          </w:p>
          <w:p w14:paraId="334FC82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16BE23F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Looking at a 100% Section 8, acquisition/rehab property (4% w/TEBs), a common strategy is to go through a Chapter 15 (post-renovation) mark-up-to-market (MU2M) process through HUD, while applying for LIHTCs and securing the TEBs. The post-renovation MU2M results in higher rental subsidy from HUD, thus allowing more permanent debt, thus increasing the amount of rehab that can be carried out. The MU2M also results in a new 20-year HAP contract being placed on the property. From a LIHTC perspective, the units are still restricted at 60% AMI, or a lower percentage if chosen. </w:t>
            </w:r>
          </w:p>
          <w:p w14:paraId="17774DA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 </w:t>
            </w:r>
          </w:p>
          <w:p w14:paraId="56EA774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color w:val="000000"/>
                <w:sz w:val="20"/>
                <w:szCs w:val="20"/>
              </w:rPr>
              <w:t>Given the QAP language, I am not clear if DCA would underwrite the projected MU2M rents for a property with less than 10-years remaining on the current HAP contract. Depending on market, being limited to maximum LIHTC rents could dramatically decrease the amount of rehab able to be performed. </w:t>
            </w:r>
            <w:r w:rsidRPr="007424E0">
              <w:rPr>
                <w:rFonts w:ascii="Times New Roman" w:hAnsi="Times New Roman" w:cs="Times New Roman"/>
                <w:color w:val="000000"/>
                <w:sz w:val="20"/>
                <w:szCs w:val="20"/>
              </w:rPr>
              <w:br/>
              <w:t> </w:t>
            </w:r>
          </w:p>
          <w:p w14:paraId="7BEEAB71" w14:textId="77777777" w:rsidR="00B24E0A" w:rsidRPr="007424E0" w:rsidRDefault="00B24E0A"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   </w:t>
            </w:r>
          </w:p>
          <w:p w14:paraId="0E34074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At baseline, per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A.8, </w:t>
            </w:r>
            <w:r w:rsidRPr="007424E0">
              <w:rPr>
                <w:rFonts w:ascii="Times New Roman" w:hAnsi="Times New Roman" w:cs="Times New Roman"/>
                <w:i/>
                <w:iCs/>
                <w:sz w:val="20"/>
                <w:szCs w:val="20"/>
              </w:rPr>
              <w:t>“Projects with PBRA that have less than ten years remaining from Application Submission Date, must be underwritten within the maximum tax credit rents and/or HOME rents, as applicable.”</w:t>
            </w:r>
            <w:r w:rsidRPr="007424E0">
              <w:rPr>
                <w:rFonts w:ascii="Times New Roman" w:hAnsi="Times New Roman" w:cs="Times New Roman"/>
                <w:sz w:val="20"/>
                <w:szCs w:val="20"/>
              </w:rPr>
              <w:t>  </w:t>
            </w:r>
          </w:p>
          <w:p w14:paraId="7D08517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w:t>
            </w:r>
          </w:p>
          <w:p w14:paraId="432A02D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If selected under the Competitive Review process, DCA would be open to waiving this requirement given the applicant’s circumstances provided we receive a letter from HUD providing assurances of comparable stringency to the “Template HUD Letter for RAD / Section 18 Blends” (</w:t>
            </w:r>
            <w:hyperlink r:id="rId27" w:tgtFrame="_blank" w:history="1">
              <w:r w:rsidRPr="007424E0">
                <w:rPr>
                  <w:rStyle w:val="Hyperlink"/>
                  <w:rFonts w:ascii="Times New Roman" w:hAnsi="Times New Roman" w:cs="Times New Roman"/>
                  <w:sz w:val="20"/>
                  <w:szCs w:val="20"/>
                </w:rPr>
                <w:t>click here</w:t>
              </w:r>
            </w:hyperlink>
            <w:r w:rsidRPr="007424E0">
              <w:rPr>
                <w:rFonts w:ascii="Times New Roman" w:hAnsi="Times New Roman" w:cs="Times New Roman"/>
                <w:sz w:val="20"/>
                <w:szCs w:val="20"/>
              </w:rPr>
              <w:t>).  </w:t>
            </w:r>
          </w:p>
          <w:p w14:paraId="3DBAFBF2"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4C7A0A0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BDB1767"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6F1D947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5CD4C4E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6993F7D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6C97C5F9"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1001139876_2</w:t>
            </w:r>
            <w:r w:rsidRPr="007424E0">
              <w:rPr>
                <w:rFonts w:ascii="Times New Roman" w:eastAsia="Times New Roman" w:hAnsi="Times New Roman" w:cs="Times New Roman"/>
                <w:b/>
                <w:bCs/>
                <w:sz w:val="20"/>
                <w:szCs w:val="20"/>
              </w:rPr>
              <w:t> </w:t>
            </w:r>
          </w:p>
          <w:p w14:paraId="1592DD9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received the following two related questions: </w:t>
            </w:r>
          </w:p>
          <w:p w14:paraId="3E4CA920"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E010958" w14:textId="77777777" w:rsidR="00B24E0A" w:rsidRPr="007424E0" w:rsidRDefault="00B24E0A" w:rsidP="000F6D48">
            <w:pPr>
              <w:numPr>
                <w:ilvl w:val="0"/>
                <w:numId w:val="62"/>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9/7 Q&amp;A </w:t>
            </w:r>
            <w:r w:rsidRPr="007424E0">
              <w:rPr>
                <w:rFonts w:ascii="Times New Roman" w:eastAsia="Times New Roman" w:hAnsi="Times New Roman" w:cs="Times New Roman"/>
                <w:b/>
                <w:bCs/>
                <w:sz w:val="20"/>
                <w:szCs w:val="20"/>
              </w:rPr>
              <w:t>Question ID: 995414261</w:t>
            </w:r>
            <w:r w:rsidRPr="007424E0">
              <w:rPr>
                <w:rFonts w:ascii="Times New Roman" w:eastAsia="Times New Roman" w:hAnsi="Times New Roman" w:cs="Times New Roman"/>
                <w:sz w:val="20"/>
                <w:szCs w:val="20"/>
              </w:rPr>
              <w:t xml:space="preserve">, DCA states </w:t>
            </w:r>
            <w:r w:rsidRPr="007424E0">
              <w:rPr>
                <w:rFonts w:ascii="Times New Roman" w:eastAsia="Times New Roman" w:hAnsi="Times New Roman" w:cs="Times New Roman"/>
                <w:i/>
                <w:iCs/>
                <w:sz w:val="20"/>
                <w:szCs w:val="20"/>
              </w:rPr>
              <w:t>"Applicants still must complete the underwriting model in the Excel Core Application, and for that purpose applicants should use the most accurate and up-to-date information available to them."</w:t>
            </w:r>
            <w:r w:rsidRPr="007424E0">
              <w:rPr>
                <w:rFonts w:ascii="Times New Roman" w:eastAsia="Times New Roman" w:hAnsi="Times New Roman" w:cs="Times New Roman"/>
                <w:sz w:val="20"/>
                <w:szCs w:val="20"/>
              </w:rPr>
              <w:t xml:space="preserve"> However, the QAP states, "</w:t>
            </w:r>
            <w:r w:rsidRPr="007424E0">
              <w:rPr>
                <w:rFonts w:ascii="Times New Roman" w:eastAsia="Times New Roman" w:hAnsi="Times New Roman" w:cs="Times New Roman"/>
                <w:i/>
                <w:iCs/>
                <w:sz w:val="20"/>
                <w:szCs w:val="20"/>
              </w:rPr>
              <w:t>Rents in effect as of January 1, 2022, must be used.”</w:t>
            </w:r>
            <w:r w:rsidRPr="007424E0">
              <w:rPr>
                <w:rFonts w:ascii="Times New Roman" w:eastAsia="Times New Roman" w:hAnsi="Times New Roman" w:cs="Times New Roman"/>
                <w:sz w:val="20"/>
                <w:szCs w:val="20"/>
              </w:rPr>
              <w:t xml:space="preserve"> Can DCA clarify for the 4% bond round if applicants should use 2021 data which would meet the QAP Guidelines or 2022 data which would meet DCA's Q&amp;A response? </w:t>
            </w:r>
            <w:r w:rsidRPr="007424E0">
              <w:rPr>
                <w:rFonts w:ascii="Times New Roman" w:eastAsia="Times New Roman" w:hAnsi="Times New Roman" w:cs="Times New Roman"/>
                <w:sz w:val="20"/>
                <w:szCs w:val="20"/>
              </w:rPr>
              <w:br/>
              <w:t> </w:t>
            </w:r>
          </w:p>
          <w:p w14:paraId="28D02AD8" w14:textId="77777777" w:rsidR="00B24E0A" w:rsidRPr="007424E0" w:rsidRDefault="00B24E0A" w:rsidP="000F6D48">
            <w:pPr>
              <w:numPr>
                <w:ilvl w:val="0"/>
                <w:numId w:val="63"/>
              </w:numPr>
              <w:rPr>
                <w:rFonts w:ascii="Times New Roman" w:eastAsia="Times New Roman" w:hAnsi="Times New Roman" w:cs="Times New Roman"/>
                <w:b/>
                <w:bCs/>
                <w:sz w:val="20"/>
                <w:szCs w:val="20"/>
              </w:rPr>
            </w:pPr>
            <w:r w:rsidRPr="007424E0">
              <w:rPr>
                <w:rFonts w:ascii="Times New Roman" w:eastAsia="Times New Roman" w:hAnsi="Times New Roman" w:cs="Times New Roman"/>
                <w:sz w:val="20"/>
                <w:szCs w:val="20"/>
              </w:rPr>
              <w:t>Can the 2022 income limits be used? The way the QAP is written, it refers to using the 2021 limits as those were in effect on 1/1/22.</w:t>
            </w:r>
            <w:r w:rsidRPr="007424E0">
              <w:rPr>
                <w:rFonts w:ascii="Times New Roman" w:eastAsia="Times New Roman" w:hAnsi="Times New Roman" w:cs="Times New Roman"/>
                <w:b/>
                <w:bCs/>
                <w:sz w:val="20"/>
                <w:szCs w:val="20"/>
              </w:rPr>
              <w:t> </w:t>
            </w:r>
            <w:r w:rsidRPr="007424E0">
              <w:rPr>
                <w:rFonts w:ascii="Times New Roman" w:eastAsia="Times New Roman" w:hAnsi="Times New Roman" w:cs="Times New Roman"/>
                <w:b/>
                <w:bCs/>
                <w:sz w:val="20"/>
                <w:szCs w:val="20"/>
              </w:rPr>
              <w:br/>
              <w:t> </w:t>
            </w:r>
          </w:p>
          <w:p w14:paraId="55086AF2"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3EFBB4E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policy </w:t>
            </w:r>
            <w:r w:rsidRPr="007424E0">
              <w:rPr>
                <w:rFonts w:ascii="Times New Roman" w:eastAsia="Times New Roman" w:hAnsi="Times New Roman" w:cs="Times New Roman"/>
                <w:i/>
                <w:iCs/>
                <w:sz w:val="20"/>
                <w:szCs w:val="20"/>
              </w:rPr>
              <w:t>“Rents in effect as of January 1, 2022”</w:t>
            </w:r>
            <w:r w:rsidRPr="007424E0">
              <w:rPr>
                <w:rFonts w:ascii="Times New Roman" w:eastAsia="Times New Roman" w:hAnsi="Times New Roman" w:cs="Times New Roman"/>
                <w:sz w:val="20"/>
                <w:szCs w:val="20"/>
              </w:rPr>
              <w:t xml:space="preserve"> does not apply to the 2022 4%/Bonds Competitive Round. The above-referenced provision exists to ensure a level of consistency when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is evaluated during the competitive review process, which is the case for the 9% Competitive Round. Per </w:t>
            </w:r>
            <w:r w:rsidRPr="007424E0">
              <w:rPr>
                <w:rFonts w:ascii="Times New Roman" w:eastAsia="Times New Roman" w:hAnsi="Times New Roman" w:cs="Times New Roman"/>
                <w:b/>
                <w:bCs/>
                <w:sz w:val="20"/>
                <w:szCs w:val="20"/>
              </w:rPr>
              <w:t>(Threshold Criteria) Applicability of Threshold Criteria</w:t>
            </w:r>
            <w:r w:rsidRPr="007424E0">
              <w:rPr>
                <w:rFonts w:ascii="Times New Roman" w:eastAsia="Times New Roman" w:hAnsi="Times New Roman" w:cs="Times New Roman"/>
                <w:sz w:val="20"/>
                <w:szCs w:val="20"/>
              </w:rPr>
              <w:t>, the competitive review process for the 4% round does not involve a strict Project Feasibility review.  </w:t>
            </w:r>
          </w:p>
          <w:p w14:paraId="59571C50"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DE61D9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Please use the best and most up-to-date information available to you when completing the underwriting model in the Excel Core Application. Please review </w:t>
            </w:r>
            <w:r w:rsidRPr="007424E0">
              <w:rPr>
                <w:rFonts w:ascii="Times New Roman" w:eastAsia="Times New Roman" w:hAnsi="Times New Roman" w:cs="Times New Roman"/>
                <w:b/>
                <w:bCs/>
                <w:sz w:val="20"/>
                <w:szCs w:val="20"/>
              </w:rPr>
              <w:t>Question ID: 999018344</w:t>
            </w:r>
            <w:r w:rsidRPr="007424E0">
              <w:rPr>
                <w:rFonts w:ascii="Times New Roman" w:eastAsia="Times New Roman" w:hAnsi="Times New Roman" w:cs="Times New Roman"/>
                <w:sz w:val="20"/>
                <w:szCs w:val="20"/>
              </w:rPr>
              <w:t xml:space="preserve"> for more detail regarding the role of the underwriting model in the 2022 4%/Bonds competitive review process.   </w:t>
            </w:r>
          </w:p>
          <w:p w14:paraId="00097B8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6D5A07A"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1F16AAA5"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0DFFF17"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2C49D45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2.25</w:t>
            </w:r>
          </w:p>
          <w:p w14:paraId="2765112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6B4F3BC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59B50B22"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1001263496</w:t>
            </w:r>
            <w:r w:rsidRPr="007424E0">
              <w:rPr>
                <w:rFonts w:ascii="Times New Roman" w:eastAsia="Times New Roman" w:hAnsi="Times New Roman" w:cs="Times New Roman"/>
                <w:b/>
                <w:bCs/>
                <w:sz w:val="20"/>
                <w:szCs w:val="20"/>
              </w:rPr>
              <w:t> </w:t>
            </w:r>
          </w:p>
          <w:p w14:paraId="117904AD"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While looking over the Relocation Workbook, the HH Date and Rent Rolls section has a drop down with type of form used. The options are TIC, HUD 50059, and the DCA HH Data Form. Does this mean we have the option to use any of the 3 forms to verify household data? </w:t>
            </w:r>
            <w:r w:rsidRPr="007424E0">
              <w:rPr>
                <w:rFonts w:ascii="Times New Roman" w:eastAsia="Times New Roman" w:hAnsi="Times New Roman" w:cs="Times New Roman"/>
                <w:sz w:val="20"/>
                <w:szCs w:val="20"/>
              </w:rPr>
              <w:br/>
              <w:t> </w:t>
            </w:r>
          </w:p>
          <w:p w14:paraId="6AB514D8"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3FEDA4E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You can use the Tenant Income Certification (TIC), HUD 50058/50059, or the DCA Household Data Form to verify household information in your submitted relocation information. </w:t>
            </w:r>
          </w:p>
          <w:p w14:paraId="1ADCAE47"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5595557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439D2F0B"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00228E3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3.16</w:t>
            </w:r>
          </w:p>
          <w:p w14:paraId="48B5B56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w:t>
            </w:r>
          </w:p>
          <w:p w14:paraId="7DFE2FAD"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1B77EB9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w:t>
            </w:r>
            <w:r w:rsidRPr="007424E0">
              <w:rPr>
                <w:rFonts w:ascii="Times New Roman" w:eastAsia="Times New Roman" w:hAnsi="Times New Roman" w:cs="Times New Roman"/>
                <w:sz w:val="20"/>
                <w:szCs w:val="20"/>
              </w:rPr>
              <w:t>Q22_0427_02 </w:t>
            </w:r>
          </w:p>
          <w:p w14:paraId="629607D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 noticed in the QAP that for Rehabs it is allowing 2 points for internet access.  If we are not in the Atlanta Metro can we not qualify for those points?  Otherwise all Atlanta Metro rehab deals will have a 2 point advantage over everything else just for being in one of those 4 counties, which doesn't seem correct.   </w:t>
            </w:r>
          </w:p>
          <w:p w14:paraId="30B803AC"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1E71B048"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0A8488FC"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sentence, “This section only applies to proposed developments in the Atlanta Metro Pool” in </w:t>
            </w:r>
            <w:r w:rsidRPr="007424E0">
              <w:rPr>
                <w:rFonts w:ascii="Times New Roman" w:eastAsia="Times New Roman" w:hAnsi="Times New Roman" w:cs="Times New Roman"/>
                <w:b/>
                <w:bCs/>
                <w:sz w:val="20"/>
                <w:szCs w:val="20"/>
              </w:rPr>
              <w:t>(Scoring Criteria) Internet Access</w:t>
            </w:r>
            <w:r w:rsidRPr="007424E0">
              <w:rPr>
                <w:rFonts w:ascii="Times New Roman" w:eastAsia="Times New Roman" w:hAnsi="Times New Roman" w:cs="Times New Roman"/>
                <w:sz w:val="20"/>
                <w:szCs w:val="20"/>
              </w:rPr>
              <w:t xml:space="preserve"> only applies to the 9% New Supply competition, for which geographic pools result in separate sub-competitions.  </w:t>
            </w:r>
          </w:p>
          <w:p w14:paraId="1987E252"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D02352A"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w:t>
            </w: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scoring criteria is “specific to” the various sub-competitions (e.g., 9% New Supply vs 4% New Supply). This section does not permit that applicability of a Scoring section could be restricted to one application but open to another within the same competition.  </w:t>
            </w:r>
          </w:p>
          <w:p w14:paraId="28BE49C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7210FA4"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As the above-referenced limitation only applies to the 9% New Supply competition, for purposes of the 4%/Bonds Round, all applications are eligible to claim points under Internet Access, regardless of construction type or location.  </w:t>
            </w:r>
          </w:p>
          <w:p w14:paraId="3A61D0D5"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5CBD9271"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CFBB6A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3F9A0B8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13B8964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2B6AEF86" w14:textId="77777777" w:rsidR="00B24E0A" w:rsidRPr="007424E0" w:rsidRDefault="00B24E0A" w:rsidP="000F6D48">
            <w:pPr>
              <w:rPr>
                <w:rFonts w:ascii="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4073C29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 xml:space="preserve">Question ID: </w:t>
            </w:r>
            <w:r w:rsidRPr="007424E0">
              <w:rPr>
                <w:rStyle w:val="normaltextrun"/>
                <w:color w:val="000000"/>
                <w:sz w:val="20"/>
                <w:szCs w:val="20"/>
              </w:rPr>
              <w:t>1001000976</w:t>
            </w:r>
            <w:r w:rsidRPr="007424E0">
              <w:rPr>
                <w:rStyle w:val="eop"/>
                <w:color w:val="000000"/>
                <w:sz w:val="20"/>
                <w:szCs w:val="20"/>
              </w:rPr>
              <w:t> </w:t>
            </w:r>
          </w:p>
          <w:p w14:paraId="33FC1B2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For the DCA 2022- 4% Competitive Round, will applications not selected have to reapply in the next round? If so, is there a round expected to open in 2023 and if so, when?</w:t>
            </w:r>
            <w:r w:rsidRPr="007424E0">
              <w:rPr>
                <w:rStyle w:val="eop"/>
                <w:color w:val="000000"/>
                <w:sz w:val="20"/>
                <w:szCs w:val="20"/>
              </w:rPr>
              <w:t> </w:t>
            </w:r>
          </w:p>
          <w:p w14:paraId="69AB79C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726B4E0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99D967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advancedproofingissue"/>
                <w:rFonts w:eastAsiaTheme="majorEastAsia"/>
                <w:sz w:val="20"/>
                <w:szCs w:val="20"/>
              </w:rPr>
              <w:t>At this time</w:t>
            </w:r>
            <w:r w:rsidRPr="007424E0">
              <w:rPr>
                <w:rStyle w:val="normaltextrun"/>
                <w:sz w:val="20"/>
                <w:szCs w:val="20"/>
              </w:rPr>
              <w:t xml:space="preserve">, DCA does expect to have a 2023 4%/Bonds Competitive Round. DCA is not able to provide a more specific timeframe expectation </w:t>
            </w:r>
            <w:r w:rsidRPr="007424E0">
              <w:rPr>
                <w:rStyle w:val="advancedproofingissue"/>
                <w:rFonts w:eastAsiaTheme="majorEastAsia"/>
                <w:sz w:val="20"/>
                <w:szCs w:val="20"/>
              </w:rPr>
              <w:t>at this time</w:t>
            </w:r>
            <w:r w:rsidRPr="007424E0">
              <w:rPr>
                <w:rStyle w:val="normaltextrun"/>
                <w:sz w:val="20"/>
                <w:szCs w:val="20"/>
              </w:rPr>
              <w:t>. </w:t>
            </w:r>
            <w:r w:rsidRPr="007424E0">
              <w:rPr>
                <w:rStyle w:val="eop"/>
                <w:sz w:val="20"/>
                <w:szCs w:val="20"/>
              </w:rPr>
              <w:t> </w:t>
            </w:r>
          </w:p>
          <w:p w14:paraId="4DA171E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59B604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Applicants not selected under the 2022 4%/Bonds Competitive Round would need to re-apply next year. </w:t>
            </w:r>
            <w:r w:rsidRPr="007424E0">
              <w:rPr>
                <w:rStyle w:val="eop"/>
                <w:sz w:val="20"/>
                <w:szCs w:val="20"/>
              </w:rPr>
              <w:t> </w:t>
            </w:r>
          </w:p>
          <w:p w14:paraId="74C8F721"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102345C7"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FA7D0CA"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1401CA2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6.00</w:t>
            </w:r>
          </w:p>
          <w:p w14:paraId="23B3E11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4%/Bonds Round Application Requirements and Procedures  </w:t>
            </w:r>
          </w:p>
          <w:p w14:paraId="46CF741E" w14:textId="77777777" w:rsidR="00B24E0A" w:rsidRPr="007424E0" w:rsidRDefault="00B24E0A" w:rsidP="000F6D48">
            <w:pPr>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1FA67C4A"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996606345 </w:t>
            </w:r>
          </w:p>
          <w:p w14:paraId="50FAF11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Will DCA have HOME Funds, NHTF, CDBG, or any other "soft" money available for projects in this round? </w:t>
            </w:r>
          </w:p>
          <w:p w14:paraId="46008AED"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1DDE7214"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79CB23C8"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will not have any “soft funding” available for the 2022 4%/Bonds Competitive Round.  </w:t>
            </w:r>
          </w:p>
          <w:p w14:paraId="0128AA8B" w14:textId="77777777" w:rsidR="00B24E0A" w:rsidRPr="007424E0" w:rsidRDefault="00B24E0A" w:rsidP="000F6D48">
            <w:pPr>
              <w:pStyle w:val="paragraph"/>
              <w:spacing w:before="0" w:beforeAutospacing="0" w:after="0" w:afterAutospacing="0"/>
              <w:textAlignment w:val="baseline"/>
              <w:rPr>
                <w:b/>
                <w:bCs/>
                <w:sz w:val="20"/>
                <w:szCs w:val="20"/>
              </w:rPr>
            </w:pPr>
          </w:p>
        </w:tc>
      </w:tr>
      <w:tr w:rsidR="00B24E0A" w:rsidRPr="007424E0" w14:paraId="2ABCE1C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438AE60"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9/13/22</w:t>
            </w:r>
          </w:p>
        </w:tc>
        <w:tc>
          <w:tcPr>
            <w:tcW w:w="2663" w:type="dxa"/>
            <w:shd w:val="clear" w:color="auto" w:fill="auto"/>
            <w:tcMar>
              <w:top w:w="72" w:type="dxa"/>
              <w:left w:w="115" w:type="dxa"/>
              <w:bottom w:w="72" w:type="dxa"/>
              <w:right w:w="115" w:type="dxa"/>
            </w:tcMar>
            <w:vAlign w:val="center"/>
          </w:tcPr>
          <w:p w14:paraId="7D865800"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25EAE642"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3F90439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998191155 </w:t>
            </w:r>
            <w:r w:rsidRPr="007424E0">
              <w:rPr>
                <w:rFonts w:ascii="Times New Roman" w:eastAsia="Times New Roman" w:hAnsi="Times New Roman" w:cs="Times New Roman"/>
                <w:sz w:val="20"/>
                <w:szCs w:val="20"/>
              </w:rPr>
              <w:br/>
              <w:t xml:space="preserve">Do we receive a pre-app number via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before submitting materials for Competitive Review? "Pre-Application Submission" is listed after "Competitive Review Submission" in the Application Submission Timeline provided in the Competitive Round Announcement, so I'm confused what the process is. </w:t>
            </w:r>
          </w:p>
          <w:p w14:paraId="1C7D30D3"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 </w:t>
            </w:r>
          </w:p>
          <w:p w14:paraId="09C6E101" w14:textId="77777777" w:rsidR="00B24E0A" w:rsidRPr="007424E0" w:rsidRDefault="00B24E0A" w:rsidP="000F6D48">
            <w:pPr>
              <w:rPr>
                <w:rFonts w:ascii="Times New Roman" w:eastAsia="Times New Roman" w:hAnsi="Times New Roman" w:cs="Times New Roman"/>
                <w:b/>
                <w:bCs/>
                <w:sz w:val="20"/>
                <w:szCs w:val="20"/>
              </w:rPr>
            </w:pPr>
            <w:r w:rsidRPr="007424E0">
              <w:rPr>
                <w:rFonts w:ascii="Times New Roman" w:eastAsia="Times New Roman" w:hAnsi="Times New Roman" w:cs="Times New Roman"/>
                <w:b/>
                <w:bCs/>
                <w:sz w:val="20"/>
                <w:szCs w:val="20"/>
              </w:rPr>
              <w:t>Answer:  </w:t>
            </w:r>
          </w:p>
          <w:p w14:paraId="2DB2886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will not receive a Pre-Application number as part of their Competitive Review Submission. Each application DCA receives will be assigned a unique ID. The Competitive Review Submission will have a unique ID, and applications selected under the Competitive Review Process will receive a unique Pre-Application ID and a unique Full Application ID.  </w:t>
            </w:r>
          </w:p>
          <w:p w14:paraId="3526C0BD"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2ADA8813"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B2EAEAB"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8EF9702"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2.02</w:t>
            </w:r>
          </w:p>
          <w:p w14:paraId="5A810D1A"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23E0956F"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79D187E1"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 xml:space="preserve">995414261 </w:t>
            </w:r>
            <w:r w:rsidRPr="007424E0">
              <w:rPr>
                <w:rFonts w:ascii="Times New Roman" w:hAnsi="Times New Roman" w:cs="Times New Roman"/>
                <w:sz w:val="20"/>
                <w:szCs w:val="20"/>
              </w:rPr>
              <w:br/>
            </w:r>
          </w:p>
          <w:p w14:paraId="7656CAA8"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Rent 4% Competitive Round: Under the </w:t>
            </w:r>
            <w:r w:rsidRPr="007424E0">
              <w:rPr>
                <w:rFonts w:ascii="Times New Roman" w:eastAsia="Times New Roman" w:hAnsi="Times New Roman" w:cs="Times New Roman"/>
                <w:b/>
                <w:bCs/>
                <w:color w:val="000000" w:themeColor="text1"/>
                <w:sz w:val="20"/>
                <w:szCs w:val="20"/>
              </w:rPr>
              <w:t xml:space="preserve">QAP Threshold Section II Project Feasibility, Viability Analysis &amp; Conformance with Plan, subsection 6. Rent </w:t>
            </w:r>
            <w:r w:rsidRPr="007424E0">
              <w:rPr>
                <w:rFonts w:ascii="Times New Roman" w:eastAsia="Times New Roman" w:hAnsi="Times New Roman" w:cs="Times New Roman"/>
                <w:color w:val="000000" w:themeColor="text1"/>
                <w:sz w:val="20"/>
                <w:szCs w:val="20"/>
              </w:rPr>
              <w:t>- The rents used must be put into place as of January 1, 2022. Our building is a 202 PRAC. We are going through the process of a RAD for PRAC conversion which would increase our rents, but this increase is not in effect yet. Can we use the rent we will receive as a result of the RAD for PRAC conversion that is determined by HUD?</w:t>
            </w:r>
          </w:p>
          <w:p w14:paraId="7AA97C0C" w14:textId="77777777" w:rsidR="00B24E0A" w:rsidRPr="007424E0" w:rsidRDefault="00B24E0A" w:rsidP="000F6D48">
            <w:pPr>
              <w:spacing w:after="160" w:line="259" w:lineRule="auto"/>
              <w:contextualSpacing/>
              <w:rPr>
                <w:rFonts w:ascii="Times New Roman" w:eastAsia="Times New Roman" w:hAnsi="Times New Roman" w:cs="Times New Roman"/>
                <w:color w:val="000000" w:themeColor="text1"/>
                <w:sz w:val="20"/>
                <w:szCs w:val="20"/>
              </w:rPr>
            </w:pPr>
          </w:p>
          <w:p w14:paraId="5308E3A6" w14:textId="77777777" w:rsidR="00B24E0A" w:rsidRPr="007424E0" w:rsidRDefault="00B24E0A"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17124AEC"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policy in question is the following: </w:t>
            </w:r>
          </w:p>
          <w:p w14:paraId="33D0FDA0" w14:textId="77777777" w:rsidR="00B24E0A" w:rsidRPr="007424E0" w:rsidRDefault="00B24E0A" w:rsidP="000F6D48">
            <w:pPr>
              <w:spacing w:after="160" w:line="259"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(Threshold Criteria) Project Feasibility</w:t>
            </w:r>
            <w:r w:rsidRPr="007424E0">
              <w:rPr>
                <w:rFonts w:ascii="Times New Roman" w:eastAsia="Times New Roman" w:hAnsi="Times New Roman" w:cs="Times New Roman"/>
                <w:color w:val="000000" w:themeColor="text1"/>
                <w:sz w:val="20"/>
                <w:szCs w:val="20"/>
              </w:rPr>
              <w:t>,</w:t>
            </w:r>
            <w:r w:rsidRPr="007424E0">
              <w:rPr>
                <w:rFonts w:ascii="Times New Roman" w:eastAsia="Times New Roman" w:hAnsi="Times New Roman" w:cs="Times New Roman"/>
                <w:b/>
                <w:bCs/>
                <w:color w:val="000000" w:themeColor="text1"/>
                <w:sz w:val="20"/>
                <w:szCs w:val="20"/>
              </w:rPr>
              <w:t xml:space="preserve"> </w:t>
            </w:r>
            <w:r w:rsidRPr="007424E0">
              <w:rPr>
                <w:rFonts w:ascii="Times New Roman" w:eastAsia="Times New Roman" w:hAnsi="Times New Roman" w:cs="Times New Roman"/>
                <w:color w:val="000000" w:themeColor="text1"/>
                <w:sz w:val="20"/>
                <w:szCs w:val="20"/>
              </w:rPr>
              <w:t xml:space="preserve">subsection </w:t>
            </w:r>
            <w:r w:rsidRPr="007424E0">
              <w:rPr>
                <w:rFonts w:ascii="Times New Roman" w:eastAsia="Times New Roman" w:hAnsi="Times New Roman" w:cs="Times New Roman"/>
                <w:b/>
                <w:bCs/>
                <w:color w:val="000000" w:themeColor="text1"/>
                <w:sz w:val="20"/>
                <w:szCs w:val="20"/>
              </w:rPr>
              <w:t>6. Rents</w:t>
            </w:r>
            <w:r w:rsidRPr="007424E0">
              <w:rPr>
                <w:rFonts w:ascii="Times New Roman" w:eastAsia="Times New Roman" w:hAnsi="Times New Roman" w:cs="Times New Roman"/>
                <w:color w:val="000000" w:themeColor="text1"/>
                <w:sz w:val="20"/>
                <w:szCs w:val="20"/>
              </w:rPr>
              <w:t>: “Rents in effect as of January 1, 2022, must be used.”</w:t>
            </w:r>
          </w:p>
          <w:p w14:paraId="739EBE4F"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First, please note that per </w:t>
            </w:r>
            <w:r w:rsidRPr="007424E0">
              <w:rPr>
                <w:rFonts w:ascii="Times New Roman" w:eastAsia="Times New Roman" w:hAnsi="Times New Roman" w:cs="Times New Roman"/>
                <w:b/>
                <w:bCs/>
                <w:color w:val="000000" w:themeColor="text1"/>
                <w:sz w:val="20"/>
                <w:szCs w:val="20"/>
              </w:rPr>
              <w:t>(Threshold Criteria) Applicability of Threshold Criteria</w:t>
            </w:r>
            <w:r w:rsidRPr="007424E0">
              <w:rPr>
                <w:rFonts w:ascii="Times New Roman" w:eastAsia="Times New Roman" w:hAnsi="Times New Roman" w:cs="Times New Roman"/>
                <w:color w:val="000000" w:themeColor="text1"/>
                <w:sz w:val="20"/>
                <w:szCs w:val="20"/>
              </w:rPr>
              <w:t xml:space="preserve">, the section </w:t>
            </w:r>
            <w:r w:rsidRPr="007424E0">
              <w:rPr>
                <w:rFonts w:ascii="Times New Roman" w:eastAsia="Times New Roman" w:hAnsi="Times New Roman" w:cs="Times New Roman"/>
                <w:b/>
                <w:bCs/>
                <w:color w:val="000000" w:themeColor="text1"/>
                <w:sz w:val="20"/>
                <w:szCs w:val="20"/>
              </w:rPr>
              <w:t>Project Feasibility</w:t>
            </w:r>
            <w:r w:rsidRPr="007424E0">
              <w:rPr>
                <w:rFonts w:ascii="Times New Roman" w:eastAsia="Times New Roman" w:hAnsi="Times New Roman" w:cs="Times New Roman"/>
                <w:color w:val="000000" w:themeColor="text1"/>
                <w:sz w:val="20"/>
                <w:szCs w:val="20"/>
              </w:rPr>
              <w:t xml:space="preserve"> is not a requirement for purposes of 4% Competitive Review. Applicants still must complete the underwriting model in the Excel Core Application, and for that purpose applicants should use the most accurate and up-to-date information available to them. </w:t>
            </w:r>
          </w:p>
          <w:p w14:paraId="2BF7DF13"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Second, please note that the QAP policy in question is referring to rental income for programs with a rent limit (e.g., the 60% AMI Housing Credit rent limit). The “in effect as of January” requirement does not apply to rental income based on PBRA. Please see </w:t>
            </w:r>
            <w:r w:rsidRPr="007424E0">
              <w:rPr>
                <w:rFonts w:ascii="Times New Roman" w:eastAsia="Times New Roman" w:hAnsi="Times New Roman" w:cs="Times New Roman"/>
                <w:b/>
                <w:bCs/>
                <w:color w:val="000000" w:themeColor="text1"/>
                <w:sz w:val="20"/>
                <w:szCs w:val="20"/>
              </w:rPr>
              <w:t>(Threshold Criteria) Project Feasibility</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 xml:space="preserve">8. Project Based Rental Assistance (PBRA)/Rental Assistance Demonstration Program (RAD) </w:t>
            </w:r>
            <w:r w:rsidRPr="007424E0">
              <w:rPr>
                <w:rFonts w:ascii="Times New Roman" w:eastAsia="Times New Roman" w:hAnsi="Times New Roman" w:cs="Times New Roman"/>
                <w:color w:val="000000" w:themeColor="text1"/>
                <w:sz w:val="20"/>
                <w:szCs w:val="20"/>
              </w:rPr>
              <w:t>for more information.</w:t>
            </w:r>
          </w:p>
          <w:p w14:paraId="5F35B7D6" w14:textId="77777777" w:rsidR="00B24E0A" w:rsidRPr="007424E0" w:rsidRDefault="00B24E0A" w:rsidP="000F6D48">
            <w:pPr>
              <w:spacing w:line="259" w:lineRule="auto"/>
              <w:rPr>
                <w:rStyle w:val="IntenseReference"/>
                <w:rFonts w:ascii="Times New Roman" w:eastAsia="Times New Roman" w:hAnsi="Times New Roman" w:cs="Times New Roman"/>
                <w:sz w:val="20"/>
                <w:szCs w:val="20"/>
              </w:rPr>
            </w:pPr>
          </w:p>
        </w:tc>
      </w:tr>
      <w:tr w:rsidR="00B24E0A" w:rsidRPr="007424E0" w14:paraId="3D7630BB"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CA319FF"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828FDFD"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2.07</w:t>
            </w:r>
          </w:p>
          <w:p w14:paraId="17A4AF26"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Threshold Criteria;</w:t>
            </w:r>
          </w:p>
          <w:p w14:paraId="23E00F49"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Environmental Requirements</w:t>
            </w:r>
          </w:p>
        </w:tc>
        <w:tc>
          <w:tcPr>
            <w:tcW w:w="9585" w:type="dxa"/>
            <w:shd w:val="clear" w:color="auto" w:fill="auto"/>
            <w:tcMar>
              <w:top w:w="72" w:type="dxa"/>
              <w:left w:w="115" w:type="dxa"/>
              <w:bottom w:w="72" w:type="dxa"/>
              <w:right w:w="115" w:type="dxa"/>
            </w:tcMar>
            <w:vAlign w:val="center"/>
          </w:tcPr>
          <w:p w14:paraId="65B72C20"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995019203</w:t>
            </w:r>
          </w:p>
          <w:p w14:paraId="3F24A1D7"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Environmental: HUD/HOME Questionnaires:</w:t>
            </w:r>
          </w:p>
          <w:p w14:paraId="7B618341"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The HUD/HOME Questionnaire (</w:t>
            </w:r>
            <w:hyperlink r:id="rId28"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states that this form should be completed for applications seeking HOME/HUD (Federal) funding. Can DCA confirm if HUD/HOME Questionnaire are required for projects involving any of the following? If you would, please respond to this question as it relates to each individual subsidy/source.</w:t>
            </w:r>
          </w:p>
          <w:p w14:paraId="66F53FC2"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PBV (HCV)</w:t>
            </w:r>
          </w:p>
          <w:p w14:paraId="699BEC16"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TPV (Tenant Protection Vouchers)</w:t>
            </w:r>
          </w:p>
          <w:p w14:paraId="1DBCF670"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RAD (PBV or PBRA)</w:t>
            </w:r>
          </w:p>
          <w:p w14:paraId="7546F67C"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ACC</w:t>
            </w:r>
          </w:p>
          <w:p w14:paraId="3E6ADE0B"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PHA funds (either Capital Funds or recycled/repurposed developer fees)</w:t>
            </w:r>
          </w:p>
          <w:p w14:paraId="24D53486" w14:textId="77777777" w:rsidR="00B24E0A" w:rsidRPr="007424E0" w:rsidRDefault="00B24E0A" w:rsidP="000F6D48">
            <w:pPr>
              <w:rPr>
                <w:rFonts w:ascii="Times New Roman" w:eastAsia="Times New Roman" w:hAnsi="Times New Roman" w:cs="Times New Roman"/>
                <w:b/>
                <w:bCs/>
                <w:sz w:val="20"/>
                <w:szCs w:val="20"/>
              </w:rPr>
            </w:pPr>
          </w:p>
          <w:p w14:paraId="224CBB11" w14:textId="77777777" w:rsidR="00B24E0A" w:rsidRPr="007424E0" w:rsidRDefault="00B24E0A"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74B15277"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HUD/HOME Questionnaire need not be included with the tax credit application for purposes of any of the above-listed resources. The Questionnaire is required for purposes of assessing eligibility for those resources, and the Housing Credit administering team within DCA (the Housing Finance and Development Division) does not administer any of the above-listed resources.</w:t>
            </w:r>
          </w:p>
          <w:p w14:paraId="51B59085" w14:textId="77777777" w:rsidR="00B24E0A" w:rsidRPr="007424E0" w:rsidRDefault="00B24E0A" w:rsidP="000F6D48">
            <w:pPr>
              <w:spacing w:line="259" w:lineRule="auto"/>
              <w:rPr>
                <w:rStyle w:val="IntenseReference"/>
                <w:rFonts w:ascii="Times New Roman" w:eastAsia="Times New Roman" w:hAnsi="Times New Roman" w:cs="Times New Roman"/>
                <w:sz w:val="20"/>
                <w:szCs w:val="20"/>
              </w:rPr>
            </w:pPr>
          </w:p>
        </w:tc>
      </w:tr>
      <w:tr w:rsidR="00B24E0A" w:rsidRPr="007424E0" w14:paraId="163509AA"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7A385DC8"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F72B86A"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2.10</w:t>
            </w:r>
          </w:p>
          <w:p w14:paraId="4F19B6F7"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Threshold Criteria; </w:t>
            </w:r>
          </w:p>
          <w:p w14:paraId="288CF042"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Site Zoning</w:t>
            </w:r>
          </w:p>
        </w:tc>
        <w:tc>
          <w:tcPr>
            <w:tcW w:w="9585" w:type="dxa"/>
            <w:shd w:val="clear" w:color="auto" w:fill="auto"/>
            <w:tcMar>
              <w:top w:w="72" w:type="dxa"/>
              <w:left w:w="115" w:type="dxa"/>
              <w:bottom w:w="72" w:type="dxa"/>
              <w:right w:w="115" w:type="dxa"/>
            </w:tcMar>
            <w:vAlign w:val="center"/>
          </w:tcPr>
          <w:p w14:paraId="41E9D53D"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998174910</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Can you guide me as it relates to zoning? For example, I have a potential site that has a special zoning* that allows for multifamily land use. Is this acceptable to DCA for purposes of tax-exempt bonds? </w:t>
            </w:r>
          </w:p>
          <w:p w14:paraId="42A66704" w14:textId="77777777" w:rsidR="00B24E0A" w:rsidRPr="007424E0" w:rsidRDefault="00B24E0A" w:rsidP="000F6D48">
            <w:pPr>
              <w:rPr>
                <w:rFonts w:ascii="Times New Roman" w:eastAsia="Times New Roman" w:hAnsi="Times New Roman" w:cs="Times New Roman"/>
                <w:color w:val="000000" w:themeColor="text1"/>
                <w:sz w:val="20"/>
                <w:szCs w:val="20"/>
              </w:rPr>
            </w:pPr>
          </w:p>
          <w:p w14:paraId="04CAE6D7"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i/>
                <w:iCs/>
                <w:color w:val="000000" w:themeColor="text1"/>
                <w:sz w:val="20"/>
                <w:szCs w:val="20"/>
              </w:rPr>
              <w:t>* (specific zoning designation included in original question, but DCA staff removed from question for publication purposes)</w:t>
            </w:r>
          </w:p>
          <w:p w14:paraId="7706662C"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p>
          <w:p w14:paraId="4B8A9C4C" w14:textId="77777777" w:rsidR="00B24E0A" w:rsidRPr="007424E0" w:rsidRDefault="00B24E0A"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 xml:space="preserve">Answer: </w:t>
            </w:r>
          </w:p>
          <w:p w14:paraId="1F9AE242"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DCA does not pre-approve whether specific circumstances meet requirements under Threshold Criteria or Scoring Criteria through Q&amp;A. If a particular QAP policy is unclear, please re-submit the question highlighting which QAP policy needs to be clarified for you to understand whether your zoning designation will qualify.</w:t>
            </w:r>
          </w:p>
          <w:p w14:paraId="13E6BEDE" w14:textId="77777777" w:rsidR="00B24E0A" w:rsidRPr="007424E0" w:rsidRDefault="00B24E0A" w:rsidP="000F6D48">
            <w:pPr>
              <w:spacing w:line="259" w:lineRule="auto"/>
              <w:rPr>
                <w:rStyle w:val="IntenseReference"/>
                <w:rFonts w:ascii="Times New Roman" w:eastAsia="Times New Roman" w:hAnsi="Times New Roman" w:cs="Times New Roman"/>
                <w:sz w:val="20"/>
                <w:szCs w:val="20"/>
              </w:rPr>
            </w:pPr>
          </w:p>
        </w:tc>
      </w:tr>
      <w:tr w:rsidR="00B24E0A" w:rsidRPr="007424E0" w14:paraId="4346F154"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0BC08F62"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75496728"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1C077174"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649835CC"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w:t>
            </w:r>
          </w:p>
          <w:p w14:paraId="3E54B7F7"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This question pertains to the Scoring Criteria for Desirables/Undesirables.  Can I use the same Fire and Rescue station for both (p) Community Assets Fire Station and (f) Medical Care Provider?  This station has Fire /Rescue Service and EMS.</w:t>
            </w:r>
          </w:p>
          <w:p w14:paraId="532244F0" w14:textId="77777777" w:rsidR="00B24E0A" w:rsidRPr="007424E0" w:rsidRDefault="00B24E0A"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64BB8C98"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No, the QAP states: </w:t>
            </w:r>
            <w:r w:rsidRPr="007424E0">
              <w:rPr>
                <w:rFonts w:ascii="Times New Roman" w:eastAsia="Times New Roman" w:hAnsi="Times New Roman" w:cs="Times New Roman"/>
                <w:i/>
                <w:iCs/>
                <w:color w:val="000000" w:themeColor="text1"/>
                <w:sz w:val="20"/>
                <w:szCs w:val="20"/>
              </w:rPr>
              <w:t>“Each building/entity/location will be assigned to only one (1) desirable category, with the exception of an amenity under (a), (c) or (l) below, which may be assigned to up to two (2) desirable categories.”</w:t>
            </w:r>
          </w:p>
          <w:p w14:paraId="0A0D8228"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Please see Q&amp;A </w:t>
            </w:r>
            <w:r w:rsidRPr="007424E0">
              <w:rPr>
                <w:rFonts w:ascii="Times New Roman" w:eastAsia="Times New Roman" w:hAnsi="Times New Roman" w:cs="Times New Roman"/>
                <w:b/>
                <w:bCs/>
                <w:color w:val="000000" w:themeColor="text1"/>
                <w:sz w:val="20"/>
                <w:szCs w:val="20"/>
              </w:rPr>
              <w:t>Q22_0503_01b</w:t>
            </w:r>
            <w:r w:rsidRPr="007424E0">
              <w:rPr>
                <w:rFonts w:ascii="Times New Roman" w:eastAsia="Times New Roman" w:hAnsi="Times New Roman" w:cs="Times New Roman"/>
                <w:color w:val="000000" w:themeColor="text1"/>
                <w:sz w:val="20"/>
                <w:szCs w:val="20"/>
              </w:rPr>
              <w:t xml:space="preserve"> for guidance on entities qualifying under the Medical Care Provider desirable category.</w:t>
            </w:r>
          </w:p>
        </w:tc>
      </w:tr>
      <w:tr w:rsidR="00B24E0A" w:rsidRPr="007424E0" w14:paraId="352DAD18"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13A4F138"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39C6B2AF"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3.05</w:t>
            </w:r>
          </w:p>
          <w:p w14:paraId="16C1A60A"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Scoring Criteria; Desirable/Undesirable Activities</w:t>
            </w:r>
          </w:p>
        </w:tc>
        <w:tc>
          <w:tcPr>
            <w:tcW w:w="9585" w:type="dxa"/>
            <w:shd w:val="clear" w:color="auto" w:fill="auto"/>
            <w:tcMar>
              <w:top w:w="72" w:type="dxa"/>
              <w:left w:w="115" w:type="dxa"/>
              <w:bottom w:w="72" w:type="dxa"/>
              <w:right w:w="115" w:type="dxa"/>
            </w:tcMar>
            <w:vAlign w:val="center"/>
          </w:tcPr>
          <w:p w14:paraId="1E0B8588"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 xml:space="preserve">Question ID: </w:t>
            </w:r>
            <w:r w:rsidRPr="007424E0">
              <w:rPr>
                <w:rFonts w:ascii="Times New Roman" w:eastAsia="Times New Roman" w:hAnsi="Times New Roman" w:cs="Times New Roman"/>
                <w:sz w:val="20"/>
                <w:szCs w:val="20"/>
              </w:rPr>
              <w:t>993260153_2</w:t>
            </w:r>
          </w:p>
          <w:p w14:paraId="3B0E7937"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Would a UPS Customer Center qualify for the scoring category of Community Assets – Post office? UPS Customer Service centers offer similar services as the U.S. Postal Service offices.</w:t>
            </w:r>
          </w:p>
          <w:p w14:paraId="354CFF69" w14:textId="77777777" w:rsidR="00B24E0A" w:rsidRPr="007424E0" w:rsidRDefault="00B24E0A" w:rsidP="000F6D48">
            <w:pPr>
              <w:rPr>
                <w:rFonts w:ascii="Times New Roman" w:eastAsia="Times New Roman" w:hAnsi="Times New Roman" w:cs="Times New Roman"/>
                <w:color w:val="000000" w:themeColor="text1"/>
                <w:sz w:val="20"/>
                <w:szCs w:val="20"/>
              </w:rPr>
            </w:pPr>
          </w:p>
          <w:p w14:paraId="65EF1D1C" w14:textId="77777777" w:rsidR="00B24E0A" w:rsidRPr="007424E0" w:rsidRDefault="00B24E0A" w:rsidP="000F6D48">
            <w:pPr>
              <w:rPr>
                <w:rFonts w:ascii="Times New Roman" w:eastAsia="Times New Roman" w:hAnsi="Times New Roman" w:cs="Times New Roman"/>
                <w:b/>
                <w:bCs/>
                <w:color w:val="000000" w:themeColor="text1"/>
                <w:sz w:val="20"/>
                <w:szCs w:val="20"/>
              </w:rPr>
            </w:pPr>
            <w:r w:rsidRPr="007424E0">
              <w:rPr>
                <w:rFonts w:ascii="Times New Roman" w:eastAsia="Times New Roman" w:hAnsi="Times New Roman" w:cs="Times New Roman"/>
                <w:b/>
                <w:bCs/>
                <w:sz w:val="20"/>
                <w:szCs w:val="20"/>
              </w:rPr>
              <w:t>Answer:</w:t>
            </w:r>
          </w:p>
          <w:p w14:paraId="213C9D55"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provided the following guidance for a similar question regarding the 2021 QAP (see 2021 Q&amp;A </w:t>
            </w:r>
            <w:r w:rsidRPr="007424E0">
              <w:rPr>
                <w:rFonts w:ascii="Times New Roman" w:eastAsia="Times New Roman" w:hAnsi="Times New Roman" w:cs="Times New Roman"/>
                <w:b/>
                <w:bCs/>
                <w:color w:val="000000" w:themeColor="text1"/>
                <w:sz w:val="20"/>
                <w:szCs w:val="20"/>
              </w:rPr>
              <w:t>Q0204_01</w:t>
            </w:r>
            <w:r w:rsidRPr="007424E0">
              <w:rPr>
                <w:rFonts w:ascii="Times New Roman" w:eastAsia="Times New Roman" w:hAnsi="Times New Roman" w:cs="Times New Roman"/>
                <w:color w:val="000000" w:themeColor="text1"/>
                <w:sz w:val="20"/>
                <w:szCs w:val="20"/>
              </w:rPr>
              <w:t>). This guidance still holds for purposes of the 2022 QAP:</w:t>
            </w:r>
          </w:p>
          <w:p w14:paraId="2D6C7768" w14:textId="77777777" w:rsidR="00B24E0A" w:rsidRPr="007424E0" w:rsidRDefault="00B24E0A" w:rsidP="000F6D48">
            <w:pPr>
              <w:spacing w:after="160" w:line="257" w:lineRule="auto"/>
              <w:ind w:left="720"/>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2021 QAP list of Desirable Activities specifies post office. Post offices are branches of a public agency that administers mail. UPS and FedEx are not considered post offices.”</w:t>
            </w:r>
          </w:p>
        </w:tc>
      </w:tr>
      <w:tr w:rsidR="00B24E0A" w:rsidRPr="007424E0" w14:paraId="4527D81D"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3456432B"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6C5B8D1A"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3.17</w:t>
            </w:r>
          </w:p>
          <w:p w14:paraId="0F411F66"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Scoring Criteria; </w:t>
            </w:r>
          </w:p>
          <w:p w14:paraId="505E56C2"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E332DFD"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 xml:space="preserve">Question ID: </w:t>
            </w:r>
            <w:r w:rsidRPr="007424E0">
              <w:rPr>
                <w:rFonts w:ascii="Times New Roman" w:eastAsia="Times New Roman" w:hAnsi="Times New Roman" w:cs="Times New Roman"/>
                <w:color w:val="000000" w:themeColor="text1"/>
                <w:sz w:val="20"/>
                <w:szCs w:val="20"/>
              </w:rPr>
              <w:t>996163925</w:t>
            </w:r>
            <w:r w:rsidRPr="007424E0">
              <w:rPr>
                <w:rFonts w:ascii="Times New Roman" w:eastAsia="Times New Roman" w:hAnsi="Times New Roman" w:cs="Times New Roman"/>
                <w:color w:val="000000" w:themeColor="text1"/>
                <w:sz w:val="20"/>
                <w:szCs w:val="20"/>
              </w:rPr>
              <w:br/>
              <w:t>To claim points in the Minority and Women Owned Business Engagement section, the Qualified Business must be certified under one of the programs approved and posted to the DCA website. Where can I find the list of the DCA approved programs; I have not been able to locate this list on DCA's website?</w:t>
            </w:r>
          </w:p>
          <w:p w14:paraId="1C7810C3"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color w:val="000000" w:themeColor="text1"/>
                <w:sz w:val="20"/>
                <w:szCs w:val="20"/>
              </w:rPr>
              <w:t>Answer</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000000" w:themeColor="text1"/>
                <w:sz w:val="20"/>
                <w:szCs w:val="20"/>
              </w:rPr>
              <w:br/>
              <w:t>For more information on the DCA Minority- and Women-Owned Business Engagement Policy, including a list of qualifying certification programs, please click on “</w:t>
            </w:r>
            <w:r w:rsidRPr="007424E0">
              <w:rPr>
                <w:rFonts w:ascii="Times New Roman" w:eastAsia="Times New Roman" w:hAnsi="Times New Roman" w:cs="Times New Roman"/>
                <w:i/>
                <w:iCs/>
                <w:color w:val="000000" w:themeColor="text1"/>
                <w:sz w:val="20"/>
                <w:szCs w:val="20"/>
              </w:rPr>
              <w:t>DCA Minority- and Women-Owned Business Engagement Policy”</w:t>
            </w:r>
            <w:r w:rsidRPr="007424E0">
              <w:rPr>
                <w:rFonts w:ascii="Times New Roman" w:eastAsia="Times New Roman" w:hAnsi="Times New Roman" w:cs="Times New Roman"/>
                <w:color w:val="000000" w:themeColor="text1"/>
                <w:sz w:val="20"/>
                <w:szCs w:val="20"/>
              </w:rPr>
              <w:t xml:space="preserve"> posted on the “</w:t>
            </w:r>
            <w:hyperlink r:id="rId29" w:history="1">
              <w:r w:rsidRPr="007424E0">
                <w:rPr>
                  <w:rStyle w:val="Hyperlink"/>
                  <w:rFonts w:ascii="Times New Roman" w:eastAsia="Times New Roman" w:hAnsi="Times New Roman" w:cs="Times New Roman"/>
                  <w:sz w:val="20"/>
                  <w:szCs w:val="20"/>
                </w:rPr>
                <w:t>2022 QAP – Scoring Documents and Data Overview</w:t>
              </w:r>
            </w:hyperlink>
            <w:r w:rsidRPr="007424E0">
              <w:rPr>
                <w:rFonts w:ascii="Times New Roman" w:eastAsia="Times New Roman" w:hAnsi="Times New Roman" w:cs="Times New Roman"/>
                <w:color w:val="000000" w:themeColor="text1"/>
                <w:sz w:val="20"/>
                <w:szCs w:val="20"/>
              </w:rPr>
              <w:t>” webpage.</w:t>
            </w:r>
          </w:p>
        </w:tc>
      </w:tr>
      <w:tr w:rsidR="00B24E0A" w:rsidRPr="007424E0" w14:paraId="71193986"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249AB11F"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D89AAE8"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056E6C6A"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p w14:paraId="7841C1B9" w14:textId="77777777" w:rsidR="00B24E0A" w:rsidRPr="007424E0" w:rsidRDefault="00B24E0A" w:rsidP="000F6D48">
            <w:pPr>
              <w:spacing w:line="259" w:lineRule="auto"/>
              <w:rPr>
                <w:rFonts w:ascii="Times New Roman" w:eastAsia="Times New Roman" w:hAnsi="Times New Roman" w:cs="Times New Roman"/>
                <w:sz w:val="20"/>
                <w:szCs w:val="20"/>
              </w:rPr>
            </w:pPr>
          </w:p>
        </w:tc>
        <w:tc>
          <w:tcPr>
            <w:tcW w:w="9585" w:type="dxa"/>
            <w:shd w:val="clear" w:color="auto" w:fill="auto"/>
            <w:tcMar>
              <w:top w:w="72" w:type="dxa"/>
              <w:left w:w="115" w:type="dxa"/>
              <w:bottom w:w="72" w:type="dxa"/>
              <w:right w:w="115" w:type="dxa"/>
            </w:tcMar>
            <w:vAlign w:val="center"/>
          </w:tcPr>
          <w:p w14:paraId="0DB1BE49"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993170019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 xml:space="preserve">DCA received several questions related to clarifying Competitive Review Submission requirements, paired with their answers below. </w:t>
            </w:r>
          </w:p>
          <w:p w14:paraId="76DDB588"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p>
          <w:p w14:paraId="328A1965" w14:textId="77777777" w:rsidR="00B24E0A" w:rsidRPr="007424E0" w:rsidRDefault="00B24E0A"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76FCFC3F" w14:textId="77777777" w:rsidR="00B24E0A" w:rsidRPr="007424E0" w:rsidRDefault="00B24E0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Has an updated checklist been distributed for the 2022 4% application?</w:t>
            </w:r>
          </w:p>
          <w:p w14:paraId="626604CE"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DCA will not be publishing a checklist for purposes of the 2022 4%/Bonds Round. For purposes of meeting QAP requirements, applicants should be reviewing the relevant QAP sections, especially the “Minimum Documentation” lists. </w:t>
            </w:r>
          </w:p>
          <w:p w14:paraId="7ED33FDA"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necessary, any other supplementary documents related to the 4%/Bonds Competitive Round will be requested directly in </w:t>
            </w:r>
            <w:proofErr w:type="spellStart"/>
            <w:r w:rsidRPr="007424E0">
              <w:rPr>
                <w:rFonts w:ascii="Times New Roman" w:eastAsia="Times New Roman" w:hAnsi="Times New Roman" w:cs="Times New Roman"/>
                <w:color w:val="000000" w:themeColor="text1"/>
                <w:sz w:val="20"/>
                <w:szCs w:val="20"/>
              </w:rPr>
              <w:t>Emphasys</w:t>
            </w:r>
            <w:proofErr w:type="spellEnd"/>
            <w:r w:rsidRPr="007424E0">
              <w:rPr>
                <w:rFonts w:ascii="Times New Roman" w:eastAsia="Times New Roman" w:hAnsi="Times New Roman" w:cs="Times New Roman"/>
                <w:color w:val="000000" w:themeColor="text1"/>
                <w:sz w:val="20"/>
                <w:szCs w:val="20"/>
              </w:rPr>
              <w:t xml:space="preserve">. </w:t>
            </w:r>
            <w:r w:rsidRPr="007424E0">
              <w:rPr>
                <w:rFonts w:ascii="Times New Roman" w:hAnsi="Times New Roman" w:cs="Times New Roman"/>
                <w:sz w:val="20"/>
                <w:szCs w:val="20"/>
              </w:rPr>
              <w:br/>
            </w:r>
          </w:p>
          <w:p w14:paraId="0945996A" w14:textId="77777777" w:rsidR="00B24E0A" w:rsidRPr="007424E0" w:rsidRDefault="00B24E0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Can DCA clarify what is required for the Competitive Review Submission? It appears to me that the submission requirements for the Competitive Review Submission are the same as a full application.</w:t>
            </w:r>
          </w:p>
          <w:p w14:paraId="4E1B3DDD"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 Competitive Review Submission and a Full Application are not the same. A Competitive Review Submission meets all requirements for applicable Scoring Criteria, but only a select number of Threshold Criteria must be met. If selected under the Competitive Review process, at a later date the applicant submits a Full Application that meets all Threshold Criteria (see </w:t>
            </w:r>
            <w:r w:rsidRPr="007424E0">
              <w:rPr>
                <w:rFonts w:ascii="Times New Roman" w:eastAsia="Times New Roman" w:hAnsi="Times New Roman" w:cs="Times New Roman"/>
                <w:b/>
                <w:bCs/>
                <w:color w:val="000000" w:themeColor="text1"/>
                <w:sz w:val="20"/>
                <w:szCs w:val="20"/>
              </w:rPr>
              <w:t xml:space="preserve">QID 1001945883_2 </w:t>
            </w:r>
            <w:r w:rsidRPr="007424E0">
              <w:rPr>
                <w:rFonts w:ascii="Times New Roman" w:eastAsia="Times New Roman" w:hAnsi="Times New Roman" w:cs="Times New Roman"/>
                <w:color w:val="000000" w:themeColor="text1"/>
                <w:sz w:val="20"/>
                <w:szCs w:val="20"/>
              </w:rPr>
              <w:t xml:space="preserve">for a timeline discussion). </w:t>
            </w:r>
          </w:p>
          <w:p w14:paraId="062136A2"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requirements for what must be included in the Competitive Review Submission are posted in 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under “Competitive Review Submission Requirements” (</w:t>
            </w:r>
            <w:hyperlink r:id="rId30"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4339952E"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Applicants seeking greater clarity on the Competitive Review Submission requirements should submit a follow-up Q&amp;A indicating which listed requirements are unclear. </w:t>
            </w:r>
            <w:r w:rsidRPr="007424E0">
              <w:rPr>
                <w:rFonts w:ascii="Times New Roman" w:hAnsi="Times New Roman" w:cs="Times New Roman"/>
                <w:sz w:val="20"/>
                <w:szCs w:val="20"/>
              </w:rPr>
              <w:br/>
            </w:r>
          </w:p>
          <w:p w14:paraId="131CE59F" w14:textId="77777777" w:rsidR="00B24E0A" w:rsidRPr="007424E0" w:rsidRDefault="00B24E0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Has the window passed to submit a Competitive Review Submission including Scoring items and select Threshold items?  </w:t>
            </w:r>
          </w:p>
          <w:p w14:paraId="56A1CB6B"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w:t>
            </w:r>
            <w:r w:rsidRPr="007424E0">
              <w:rPr>
                <w:rFonts w:ascii="Times New Roman" w:eastAsia="Times New Roman" w:hAnsi="Times New Roman" w:cs="Times New Roman"/>
                <w:b/>
                <w:bCs/>
                <w:color w:val="000000" w:themeColor="text1"/>
                <w:sz w:val="20"/>
                <w:szCs w:val="20"/>
              </w:rPr>
              <w:t>Competitive Round Announcement</w:t>
            </w:r>
            <w:r w:rsidRPr="007424E0">
              <w:rPr>
                <w:rFonts w:ascii="Times New Roman" w:eastAsia="Times New Roman" w:hAnsi="Times New Roman" w:cs="Times New Roman"/>
                <w:color w:val="000000" w:themeColor="text1"/>
                <w:sz w:val="20"/>
                <w:szCs w:val="20"/>
              </w:rPr>
              <w:t xml:space="preserve"> also states, under “Application Submission Timeline,” that the Competitive Review Submission deadline is Friday, October 14, 2022. </w:t>
            </w:r>
            <w:r w:rsidRPr="007424E0">
              <w:rPr>
                <w:rFonts w:ascii="Times New Roman" w:hAnsi="Times New Roman" w:cs="Times New Roman"/>
                <w:sz w:val="20"/>
                <w:szCs w:val="20"/>
              </w:rPr>
              <w:br/>
            </w:r>
          </w:p>
          <w:p w14:paraId="1805ACBA" w14:textId="77777777" w:rsidR="00B24E0A" w:rsidRPr="007424E0" w:rsidRDefault="00B24E0A" w:rsidP="000F6D48">
            <w:pPr>
              <w:pStyle w:val="ListParagraph"/>
              <w:numPr>
                <w:ilvl w:val="0"/>
                <w:numId w:val="58"/>
              </w:numPr>
              <w:spacing w:after="160" w:line="259" w:lineRule="auto"/>
              <w:rPr>
                <w:rFonts w:ascii="Times New Roman" w:eastAsia="Times New Roman" w:hAnsi="Times New Roman" w:cs="Times New Roman"/>
                <w:i/>
                <w:iCs/>
                <w:color w:val="4472C4" w:themeColor="accent1"/>
                <w:sz w:val="20"/>
                <w:szCs w:val="20"/>
              </w:rPr>
            </w:pPr>
            <w:r w:rsidRPr="007424E0">
              <w:rPr>
                <w:rFonts w:ascii="Times New Roman" w:eastAsia="Times New Roman" w:hAnsi="Times New Roman" w:cs="Times New Roman"/>
                <w:i/>
                <w:iCs/>
                <w:color w:val="4472C4" w:themeColor="accent1"/>
                <w:sz w:val="20"/>
                <w:szCs w:val="20"/>
              </w:rPr>
              <w:t xml:space="preserve">Below is a list of the documents we plan to submit to meet all applicable Threshold Criteria. Can you please confirm that these are the correct ones? </w:t>
            </w:r>
          </w:p>
          <w:p w14:paraId="2CC021C8"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Absent seeing the full context of the development, DCA is not able to confirm through Q&amp;A whether a proposed set of documents will be sufficient to pass a particular Threshold section. Applicants are responsible for reviewing the QAP sections themselves to understand what documentation will be required to pass a Threshold section. </w:t>
            </w:r>
          </w:p>
          <w:p w14:paraId="61DCB0B3" w14:textId="77777777" w:rsidR="00B24E0A" w:rsidRPr="007424E0" w:rsidRDefault="00B24E0A" w:rsidP="000F6D48">
            <w:pPr>
              <w:pStyle w:val="ListParagraph"/>
              <w:numPr>
                <w:ilvl w:val="1"/>
                <w:numId w:val="58"/>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a specific QAP policy is ambiguous, or if given the development’s circumstances it is not clear how a particular QAP policy should apply, then please submit a new question highlighting the ambiguity.  </w:t>
            </w:r>
          </w:p>
          <w:p w14:paraId="6A73A1F6" w14:textId="77777777" w:rsidR="00B24E0A" w:rsidRPr="007424E0" w:rsidRDefault="00B24E0A" w:rsidP="000F6D48">
            <w:pPr>
              <w:rPr>
                <w:rFonts w:ascii="Times New Roman" w:eastAsia="Times New Roman" w:hAnsi="Times New Roman" w:cs="Times New Roman"/>
                <w:b/>
                <w:bCs/>
                <w:sz w:val="20"/>
                <w:szCs w:val="20"/>
              </w:rPr>
            </w:pPr>
          </w:p>
        </w:tc>
      </w:tr>
      <w:tr w:rsidR="00B24E0A" w:rsidRPr="007424E0" w14:paraId="049828C2"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6FC0BDBE" w14:textId="77777777" w:rsidR="00B24E0A" w:rsidRPr="007424E0" w:rsidRDefault="00B24E0A" w:rsidP="000F6D48">
            <w:pPr>
              <w:rPr>
                <w:rFonts w:ascii="Times New Roman" w:eastAsia="Times New Roman" w:hAnsi="Times New Roman" w:cs="Times New Roman"/>
                <w:noProof/>
                <w:sz w:val="20"/>
                <w:szCs w:val="20"/>
              </w:rPr>
            </w:pPr>
            <w:r w:rsidRPr="007424E0">
              <w:rPr>
                <w:rFonts w:ascii="Times New Roman" w:eastAsia="Times New Roman" w:hAnsi="Times New Roman" w:cs="Times New Roman"/>
                <w:noProof/>
                <w:sz w:val="20"/>
                <w:szCs w:val="20"/>
              </w:rPr>
              <w:t>9/7/22</w:t>
            </w:r>
          </w:p>
        </w:tc>
        <w:tc>
          <w:tcPr>
            <w:tcW w:w="2663" w:type="dxa"/>
            <w:shd w:val="clear" w:color="auto" w:fill="auto"/>
            <w:tcMar>
              <w:top w:w="72" w:type="dxa"/>
              <w:left w:w="115" w:type="dxa"/>
              <w:bottom w:w="72" w:type="dxa"/>
              <w:right w:w="115" w:type="dxa"/>
            </w:tcMar>
            <w:vAlign w:val="center"/>
          </w:tcPr>
          <w:p w14:paraId="503C09CC"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6.00</w:t>
            </w:r>
          </w:p>
          <w:p w14:paraId="2A50C6FB" w14:textId="77777777" w:rsidR="00B24E0A" w:rsidRPr="007424E0" w:rsidRDefault="00B24E0A" w:rsidP="000F6D48">
            <w:pPr>
              <w:spacing w:line="259" w:lineRule="auto"/>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4%/Bonds Round Application Requirements and Procedures</w:t>
            </w:r>
          </w:p>
        </w:tc>
        <w:tc>
          <w:tcPr>
            <w:tcW w:w="9585" w:type="dxa"/>
            <w:shd w:val="clear" w:color="auto" w:fill="auto"/>
            <w:tcMar>
              <w:top w:w="72" w:type="dxa"/>
              <w:left w:w="115" w:type="dxa"/>
              <w:bottom w:w="72" w:type="dxa"/>
              <w:right w:w="115" w:type="dxa"/>
            </w:tcMar>
            <w:vAlign w:val="center"/>
          </w:tcPr>
          <w:p w14:paraId="77EE45ED"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1001945883_2</w:t>
            </w:r>
            <w:r w:rsidRPr="007424E0">
              <w:rPr>
                <w:rFonts w:ascii="Times New Roman" w:hAnsi="Times New Roman" w:cs="Times New Roman"/>
                <w:sz w:val="20"/>
                <w:szCs w:val="20"/>
              </w:rPr>
              <w:br/>
            </w:r>
            <w:r w:rsidRPr="007424E0">
              <w:rPr>
                <w:rFonts w:ascii="Times New Roman" w:eastAsia="Times New Roman" w:hAnsi="Times New Roman" w:cs="Times New Roman"/>
                <w:color w:val="000000" w:themeColor="text1"/>
                <w:sz w:val="20"/>
                <w:szCs w:val="20"/>
              </w:rPr>
              <w:t xml:space="preserve">Below are a series of questions related to </w:t>
            </w:r>
            <w:r w:rsidRPr="007424E0">
              <w:rPr>
                <w:rFonts w:ascii="Times New Roman" w:eastAsia="Times New Roman" w:hAnsi="Times New Roman" w:cs="Times New Roman"/>
                <w:b/>
                <w:bCs/>
                <w:color w:val="000000" w:themeColor="text1"/>
                <w:sz w:val="20"/>
                <w:szCs w:val="20"/>
              </w:rPr>
              <w:t>(Core Plan) 4% Federal Credit – Bond Financed Projects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4% Credit Review Process</w:t>
            </w:r>
            <w:r w:rsidRPr="007424E0">
              <w:rPr>
                <w:rFonts w:ascii="Times New Roman" w:eastAsia="Times New Roman" w:hAnsi="Times New Roman" w:cs="Times New Roman"/>
                <w:color w:val="000000" w:themeColor="text1"/>
                <w:sz w:val="20"/>
                <w:szCs w:val="20"/>
              </w:rPr>
              <w:t xml:space="preserve">. </w:t>
            </w:r>
          </w:p>
          <w:p w14:paraId="0AFD7E86"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p>
          <w:p w14:paraId="39EBA409" w14:textId="77777777" w:rsidR="00B24E0A" w:rsidRPr="007424E0" w:rsidRDefault="00B24E0A"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2000C071" w14:textId="77777777" w:rsidR="00B24E0A" w:rsidRPr="007424E0" w:rsidRDefault="00B24E0A"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1:</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This section states “</w:t>
            </w:r>
            <w:r w:rsidRPr="007424E0">
              <w:rPr>
                <w:rFonts w:ascii="Times New Roman" w:eastAsia="Times New Roman" w:hAnsi="Times New Roman" w:cs="Times New Roman"/>
                <w:i/>
                <w:iCs/>
                <w:color w:val="4472C4" w:themeColor="accent1"/>
                <w:sz w:val="20"/>
                <w:szCs w:val="20"/>
              </w:rPr>
              <w:t>Applications selected under the competitive process will receive DCA consent to submit a full Pre-Application within 40 days.</w:t>
            </w:r>
            <w:r w:rsidRPr="007424E0">
              <w:rPr>
                <w:rFonts w:ascii="Times New Roman" w:eastAsia="Times New Roman" w:hAnsi="Times New Roman" w:cs="Times New Roman"/>
                <w:color w:val="4472C4" w:themeColor="accent1"/>
                <w:sz w:val="20"/>
                <w:szCs w:val="20"/>
              </w:rPr>
              <w:t>” Is this 40 days from October 14th deadline that we will receive consent to submit a full pre-application? So by November 23rd we will know if we are allowed to submit a full pre-application?</w:t>
            </w:r>
          </w:p>
          <w:p w14:paraId="57E37A5A" w14:textId="77777777" w:rsidR="00B24E0A" w:rsidRPr="007424E0" w:rsidRDefault="00B24E0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above interpretation is not correct. When DCA has completed staff reviews of Competitive Review Submissions, DCA will issue consent to submit a Pre-Application to high-scoring applications. Upon receiving this consent notice, the 40-day clock starts. </w:t>
            </w:r>
          </w:p>
          <w:p w14:paraId="4CD9BD97" w14:textId="77777777" w:rsidR="00B24E0A" w:rsidRPr="007424E0" w:rsidRDefault="00B24E0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For example, if on January 1 you are notified to proceed with submitting a Pre-Application within 40 days, you must submit your Pre-Application by February 10</w:t>
            </w:r>
            <w:r w:rsidRPr="007424E0">
              <w:rPr>
                <w:rFonts w:ascii="Times New Roman" w:eastAsia="Times New Roman" w:hAnsi="Times New Roman" w:cs="Times New Roman"/>
                <w:color w:val="000000" w:themeColor="text1"/>
                <w:sz w:val="20"/>
                <w:szCs w:val="20"/>
                <w:vertAlign w:val="superscript"/>
              </w:rPr>
              <w:t>th</w:t>
            </w:r>
            <w:r w:rsidRPr="007424E0">
              <w:rPr>
                <w:rFonts w:ascii="Times New Roman" w:eastAsia="Times New Roman" w:hAnsi="Times New Roman" w:cs="Times New Roman"/>
                <w:color w:val="000000" w:themeColor="text1"/>
                <w:sz w:val="20"/>
                <w:szCs w:val="20"/>
              </w:rPr>
              <w:t xml:space="preserve">. </w:t>
            </w:r>
          </w:p>
          <w:p w14:paraId="584B1D1A" w14:textId="77777777" w:rsidR="00B24E0A" w:rsidRPr="007424E0" w:rsidRDefault="00B24E0A" w:rsidP="000F6D48">
            <w:pPr>
              <w:pStyle w:val="ListParagraph"/>
              <w:numPr>
                <w:ilvl w:val="1"/>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above dates are for illustrative purposes only. DCA cannot speak to how long the Competitive Review process will take, and so we cannot provide any guidance on what these exact dates may be.</w:t>
            </w:r>
          </w:p>
          <w:p w14:paraId="54A840B7" w14:textId="77777777" w:rsidR="00B24E0A" w:rsidRPr="007424E0" w:rsidRDefault="00B24E0A"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 xml:space="preserve">Question 2: </w:t>
            </w:r>
            <w:r w:rsidRPr="007424E0">
              <w:rPr>
                <w:rFonts w:ascii="Times New Roman" w:eastAsia="Times New Roman" w:hAnsi="Times New Roman" w:cs="Times New Roman"/>
                <w:color w:val="4472C4" w:themeColor="accent1"/>
                <w:sz w:val="20"/>
                <w:szCs w:val="20"/>
              </w:rPr>
              <w:t xml:space="preserve">How soon after the developer submits the pre-application will DCA provide the "Pre-Application Clearance Letter"? </w:t>
            </w:r>
          </w:p>
          <w:p w14:paraId="55C79741" w14:textId="77777777" w:rsidR="00B24E0A" w:rsidRPr="007424E0" w:rsidRDefault="00B24E0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How long it takes DCA staff to review a Pre-Application depends on how many items listed under </w:t>
            </w:r>
            <w:r w:rsidRPr="007424E0">
              <w:rPr>
                <w:rFonts w:ascii="Times New Roman" w:eastAsia="Times New Roman" w:hAnsi="Times New Roman" w:cs="Times New Roman"/>
                <w:b/>
                <w:bCs/>
                <w:color w:val="000000" w:themeColor="text1"/>
                <w:sz w:val="20"/>
                <w:szCs w:val="20"/>
              </w:rPr>
              <w:t>(Core Plan) Submission Requirements and Award Limitations</w:t>
            </w:r>
            <w:r w:rsidRPr="007424E0">
              <w:rPr>
                <w:rFonts w:ascii="Times New Roman" w:eastAsia="Times New Roman" w:hAnsi="Times New Roman" w:cs="Times New Roman"/>
                <w:color w:val="000000" w:themeColor="text1"/>
                <w:sz w:val="20"/>
                <w:szCs w:val="20"/>
              </w:rPr>
              <w:t xml:space="preserve">, subsection </w:t>
            </w:r>
            <w:r w:rsidRPr="007424E0">
              <w:rPr>
                <w:rFonts w:ascii="Times New Roman" w:eastAsia="Times New Roman" w:hAnsi="Times New Roman" w:cs="Times New Roman"/>
                <w:b/>
                <w:bCs/>
                <w:color w:val="000000" w:themeColor="text1"/>
                <w:sz w:val="20"/>
                <w:szCs w:val="20"/>
              </w:rPr>
              <w:t>A. Pre-Determinations and Waivers</w:t>
            </w:r>
            <w:r w:rsidRPr="007424E0">
              <w:rPr>
                <w:rFonts w:ascii="Times New Roman" w:eastAsia="Times New Roman" w:hAnsi="Times New Roman" w:cs="Times New Roman"/>
                <w:color w:val="000000" w:themeColor="text1"/>
                <w:sz w:val="20"/>
                <w:szCs w:val="20"/>
              </w:rPr>
              <w:t xml:space="preserve"> apply to the development. A New Supply application with no waivers will be reviewed more quickly than a Preservation development with 20+ architectural waivers. </w:t>
            </w:r>
          </w:p>
          <w:p w14:paraId="65026C3B" w14:textId="77777777" w:rsidR="00B24E0A" w:rsidRPr="007424E0" w:rsidRDefault="00B24E0A" w:rsidP="000F6D48">
            <w:pPr>
              <w:pStyle w:val="ListParagraph"/>
              <w:numPr>
                <w:ilvl w:val="0"/>
                <w:numId w:val="61"/>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Further, DCA does not know to what extent 2023 9% Competitive Round seasonal processes will overlap with post-award 2022 4%/Bonds Competitive Round processes. This may delay a Pre-Application Clearance Letter. </w:t>
            </w:r>
          </w:p>
          <w:p w14:paraId="28FF088C" w14:textId="77777777" w:rsidR="00B24E0A" w:rsidRPr="007424E0" w:rsidRDefault="00B24E0A"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3:</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color w:val="4472C4" w:themeColor="accent1"/>
                <w:sz w:val="20"/>
                <w:szCs w:val="20"/>
              </w:rPr>
              <w:t>How soon after the developer receives the "Pre-Application Clearance Letter" will DCA issue the consent to apply for LODs with a Full Application Submission?</w:t>
            </w:r>
          </w:p>
          <w:p w14:paraId="5AF7B907" w14:textId="77777777" w:rsidR="00B24E0A" w:rsidRPr="007424E0" w:rsidRDefault="00B24E0A" w:rsidP="000F6D48">
            <w:pPr>
              <w:pStyle w:val="ListParagraph"/>
              <w:numPr>
                <w:ilvl w:val="0"/>
                <w:numId w:val="60"/>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The Pre-Application Clearance Letter is just Pre-Application approval. Per the “Application Submission Timeline” detailed in the </w:t>
            </w:r>
            <w:r w:rsidRPr="007424E0">
              <w:rPr>
                <w:rFonts w:ascii="Times New Roman" w:eastAsia="Times New Roman" w:hAnsi="Times New Roman" w:cs="Times New Roman"/>
                <w:b/>
                <w:bCs/>
                <w:color w:val="000000" w:themeColor="text1"/>
                <w:sz w:val="20"/>
                <w:szCs w:val="20"/>
              </w:rPr>
              <w:t>4%/Bonds Competitive Round Announcement</w:t>
            </w:r>
            <w:r w:rsidRPr="007424E0">
              <w:rPr>
                <w:rFonts w:ascii="Times New Roman" w:eastAsia="Times New Roman" w:hAnsi="Times New Roman" w:cs="Times New Roman"/>
                <w:color w:val="000000" w:themeColor="text1"/>
                <w:sz w:val="20"/>
                <w:szCs w:val="20"/>
              </w:rPr>
              <w:t xml:space="preserve"> (</w:t>
            </w:r>
            <w:hyperlink r:id="rId31" w:history="1">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 xml:space="preserve">), immediately upon receiving Pre-Application approval, the applicant will have 60 days to submit a Full Application. </w:t>
            </w:r>
          </w:p>
          <w:p w14:paraId="6C821709" w14:textId="77777777" w:rsidR="00B24E0A" w:rsidRPr="007424E0" w:rsidRDefault="00B24E0A" w:rsidP="000F6D48">
            <w:pPr>
              <w:spacing w:after="160" w:line="259" w:lineRule="auto"/>
              <w:rPr>
                <w:rFonts w:ascii="Times New Roman" w:eastAsia="Times New Roman" w:hAnsi="Times New Roman" w:cs="Times New Roman"/>
                <w:color w:val="4472C4" w:themeColor="accent1"/>
                <w:sz w:val="20"/>
                <w:szCs w:val="20"/>
              </w:rPr>
            </w:pPr>
            <w:r w:rsidRPr="007424E0">
              <w:rPr>
                <w:rFonts w:ascii="Times New Roman" w:eastAsia="Times New Roman" w:hAnsi="Times New Roman" w:cs="Times New Roman"/>
                <w:b/>
                <w:bCs/>
                <w:color w:val="000000" w:themeColor="text1"/>
                <w:sz w:val="20"/>
                <w:szCs w:val="20"/>
              </w:rPr>
              <w:t>Question 4:</w:t>
            </w:r>
            <w:r w:rsidRPr="007424E0">
              <w:rPr>
                <w:rFonts w:ascii="Times New Roman" w:eastAsia="Times New Roman" w:hAnsi="Times New Roman" w:cs="Times New Roman"/>
                <w:color w:val="000000" w:themeColor="text1"/>
                <w:sz w:val="20"/>
                <w:szCs w:val="20"/>
              </w:rPr>
              <w:t xml:space="preserve"> </w:t>
            </w:r>
            <w:r w:rsidRPr="007424E0">
              <w:rPr>
                <w:rFonts w:ascii="Times New Roman" w:eastAsia="Times New Roman" w:hAnsi="Times New Roman" w:cs="Times New Roman"/>
                <w:i/>
                <w:iCs/>
                <w:color w:val="4472C4" w:themeColor="accent1"/>
                <w:sz w:val="20"/>
                <w:szCs w:val="20"/>
              </w:rPr>
              <w:t>What is the expected timeline for DCA to review the Full Application submission and issue a LOD?</w:t>
            </w:r>
          </w:p>
          <w:p w14:paraId="55BA97C6" w14:textId="77777777" w:rsidR="00B24E0A" w:rsidRPr="007424E0" w:rsidRDefault="00B24E0A" w:rsidP="000F6D48">
            <w:pPr>
              <w:pStyle w:val="ListParagraph"/>
              <w:numPr>
                <w:ilvl w:val="0"/>
                <w:numId w:val="59"/>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The answer is similar to question 2 above. This depends on the complexity of the Full Application and the extent to which 4%/Bonds Round reviews overlap with other seasonal processes, including but not limited to the 9% Competitive Round.</w:t>
            </w:r>
          </w:p>
          <w:p w14:paraId="725D6928" w14:textId="77777777" w:rsidR="00B24E0A" w:rsidRPr="007424E0" w:rsidRDefault="00B24E0A" w:rsidP="000F6D48">
            <w:pPr>
              <w:spacing w:line="259" w:lineRule="auto"/>
              <w:rPr>
                <w:rStyle w:val="IntenseReference"/>
                <w:rFonts w:ascii="Times New Roman" w:eastAsia="Times New Roman" w:hAnsi="Times New Roman" w:cs="Times New Roman"/>
                <w:sz w:val="20"/>
                <w:szCs w:val="20"/>
              </w:rPr>
            </w:pPr>
          </w:p>
        </w:tc>
      </w:tr>
      <w:tr w:rsidR="00B24E0A" w:rsidRPr="007424E0" w14:paraId="65F67BB9" w14:textId="77777777" w:rsidTr="64301FE8">
        <w:trPr>
          <w:trHeight w:val="908"/>
          <w:jc w:val="center"/>
        </w:trPr>
        <w:tc>
          <w:tcPr>
            <w:tcW w:w="1697" w:type="dxa"/>
            <w:shd w:val="clear" w:color="auto" w:fill="auto"/>
            <w:tcMar>
              <w:top w:w="72" w:type="dxa"/>
              <w:left w:w="115" w:type="dxa"/>
              <w:bottom w:w="72" w:type="dxa"/>
              <w:right w:w="115" w:type="dxa"/>
            </w:tcMar>
            <w:vAlign w:val="center"/>
          </w:tcPr>
          <w:p w14:paraId="5C604C74"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8/5/22</w:t>
            </w:r>
          </w:p>
        </w:tc>
        <w:tc>
          <w:tcPr>
            <w:tcW w:w="2663" w:type="dxa"/>
            <w:shd w:val="clear" w:color="auto" w:fill="auto"/>
            <w:tcMar>
              <w:top w:w="72" w:type="dxa"/>
              <w:left w:w="115" w:type="dxa"/>
              <w:bottom w:w="72" w:type="dxa"/>
              <w:right w:w="115" w:type="dxa"/>
            </w:tcMar>
            <w:vAlign w:val="center"/>
          </w:tcPr>
          <w:p w14:paraId="7561DDE5" w14:textId="77777777" w:rsidR="00B24E0A" w:rsidRPr="007424E0" w:rsidRDefault="00B24E0A"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2.15</w:t>
            </w:r>
          </w:p>
          <w:p w14:paraId="468A9FA3" w14:textId="77777777" w:rsidR="00B24E0A" w:rsidRPr="007424E0" w:rsidRDefault="00B24E0A"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4F1B1D63" w14:textId="77777777" w:rsidR="00B24E0A" w:rsidRPr="007424E0" w:rsidRDefault="00B24E0A" w:rsidP="000F6D48">
            <w:pPr>
              <w:spacing w:line="259" w:lineRule="auto"/>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5E432B64"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0725_HFDR-1</w:t>
            </w:r>
            <w:r w:rsidRPr="007424E0">
              <w:rPr>
                <w:rFonts w:ascii="Times New Roman" w:hAnsi="Times New Roman" w:cs="Times New Roman"/>
                <w:sz w:val="20"/>
                <w:szCs w:val="20"/>
              </w:rPr>
              <w:br/>
              <w:t>I have questions regarding the QAP standards for a rehabilitation.</w:t>
            </w:r>
          </w:p>
          <w:p w14:paraId="51E47FA8" w14:textId="77777777" w:rsidR="00B24E0A" w:rsidRPr="007424E0" w:rsidRDefault="00B24E0A"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rehab projects applying for a 4% tax credit need to have a minimum of $25,000/interior unit in hard costs? </w:t>
            </w:r>
          </w:p>
          <w:p w14:paraId="46023230" w14:textId="77777777" w:rsidR="00B24E0A" w:rsidRPr="007424E0" w:rsidRDefault="00B24E0A" w:rsidP="000F6D48">
            <w:pPr>
              <w:pStyle w:val="ListParagraph"/>
              <w:numPr>
                <w:ilvl w:val="0"/>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Assuming that it is required for 4% deals, I have two follow-up questions:</w:t>
            </w:r>
          </w:p>
          <w:p w14:paraId="5D4C3354" w14:textId="77777777" w:rsidR="00B24E0A" w:rsidRPr="007424E0" w:rsidRDefault="00B24E0A"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Is contingency included in this? </w:t>
            </w:r>
          </w:p>
          <w:p w14:paraId="4F59F9D4" w14:textId="77777777" w:rsidR="00B24E0A" w:rsidRPr="007424E0" w:rsidRDefault="00B24E0A" w:rsidP="000F6D48">
            <w:pPr>
              <w:pStyle w:val="ListParagraph"/>
              <w:numPr>
                <w:ilvl w:val="1"/>
                <w:numId w:val="56"/>
              </w:num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Does this apply for a Section 8 deal. That is, are any waivers possible?</w:t>
            </w:r>
          </w:p>
          <w:p w14:paraId="49D20B76" w14:textId="77777777" w:rsidR="00B24E0A" w:rsidRPr="007424E0" w:rsidRDefault="00B24E0A" w:rsidP="000F6D48">
            <w:pPr>
              <w:spacing w:after="160" w:line="259" w:lineRule="auto"/>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 am referring to the following requirement in the </w:t>
            </w:r>
            <w:r w:rsidRPr="007424E0">
              <w:rPr>
                <w:rFonts w:ascii="Times New Roman" w:eastAsia="Times New Roman" w:hAnsi="Times New Roman" w:cs="Times New Roman"/>
                <w:b/>
                <w:bCs/>
                <w:color w:val="000000" w:themeColor="text1"/>
                <w:sz w:val="20"/>
                <w:szCs w:val="20"/>
              </w:rPr>
              <w:t>Rehabilitation Guide</w:t>
            </w:r>
            <w:r w:rsidRPr="007424E0">
              <w:rPr>
                <w:rFonts w:ascii="Times New Roman" w:eastAsia="Times New Roman" w:hAnsi="Times New Roman" w:cs="Times New Roman"/>
                <w:color w:val="000000" w:themeColor="text1"/>
                <w:sz w:val="20"/>
                <w:szCs w:val="20"/>
              </w:rPr>
              <w:t xml:space="preserve"> of the </w:t>
            </w:r>
            <w:r w:rsidRPr="007424E0">
              <w:rPr>
                <w:rFonts w:ascii="Times New Roman" w:eastAsia="Times New Roman" w:hAnsi="Times New Roman" w:cs="Times New Roman"/>
                <w:b/>
                <w:bCs/>
                <w:color w:val="000000" w:themeColor="text1"/>
                <w:sz w:val="20"/>
                <w:szCs w:val="20"/>
              </w:rPr>
              <w:t>2022 Architectural Manual</w:t>
            </w:r>
            <w:r w:rsidRPr="007424E0">
              <w:rPr>
                <w:rFonts w:ascii="Times New Roman" w:eastAsia="Times New Roman" w:hAnsi="Times New Roman" w:cs="Times New Roman"/>
                <w:color w:val="000000" w:themeColor="text1"/>
                <w:sz w:val="20"/>
                <w:szCs w:val="20"/>
              </w:rPr>
              <w:t xml:space="preserve">: </w:t>
            </w:r>
          </w:p>
          <w:p w14:paraId="1A0E98B8" w14:textId="77777777" w:rsidR="00B24E0A" w:rsidRPr="007424E0" w:rsidRDefault="00B24E0A" w:rsidP="000F6D48">
            <w:pPr>
              <w:spacing w:after="160" w:line="259" w:lineRule="auto"/>
              <w:rPr>
                <w:rFonts w:ascii="Times New Roman" w:eastAsia="Times New Roman" w:hAnsi="Times New Roman" w:cs="Times New Roman"/>
                <w:i/>
                <w:iCs/>
                <w:color w:val="000000" w:themeColor="text1"/>
                <w:sz w:val="20"/>
                <w:szCs w:val="20"/>
              </w:rPr>
            </w:pPr>
            <w:r w:rsidRPr="007424E0">
              <w:rPr>
                <w:rFonts w:ascii="Times New Roman" w:eastAsia="Times New Roman" w:hAnsi="Times New Roman" w:cs="Times New Roman"/>
                <w:i/>
                <w:iCs/>
                <w:color w:val="000000" w:themeColor="text1"/>
                <w:sz w:val="20"/>
                <w:szCs w:val="20"/>
              </w:rPr>
              <w:t>“Hard costs eligible for this minimum “dwelling unit” per unit hard cost minimum requirement shall be limited to interior dwelling unit improvements and dwelling unit envelope work items that directly impact the quality of life of the resident (i.e., windows, entry doors, unit insulation, balconies, and patios only). Exterior wall cladding and roofs of residential structures, site improvements, common building systems, community building improvements, new community buildings, maintenance facilities, other common use structures, interior amenities, exterior amenities and other similar items ARE NOT eligible to count towards the $25,000 “dwelling unit” per unit hard cost minimum.”</w:t>
            </w:r>
          </w:p>
          <w:p w14:paraId="3D057F12" w14:textId="77777777" w:rsidR="00B24E0A" w:rsidRPr="007424E0" w:rsidRDefault="00B24E0A" w:rsidP="000F6D48">
            <w:pPr>
              <w:rPr>
                <w:rFonts w:ascii="Times New Roman" w:eastAsia="Times New Roman" w:hAnsi="Times New Roman" w:cs="Times New Roman"/>
                <w:b/>
                <w:bCs/>
                <w:color w:val="4472C4" w:themeColor="accent1"/>
                <w:sz w:val="20"/>
                <w:szCs w:val="20"/>
              </w:rPr>
            </w:pPr>
            <w:r w:rsidRPr="007424E0">
              <w:rPr>
                <w:rFonts w:ascii="Times New Roman" w:eastAsia="Times New Roman" w:hAnsi="Times New Roman" w:cs="Times New Roman"/>
                <w:b/>
                <w:bCs/>
                <w:sz w:val="20"/>
                <w:szCs w:val="20"/>
              </w:rPr>
              <w:t xml:space="preserve">Answer: </w:t>
            </w:r>
          </w:p>
          <w:p w14:paraId="16E8A02C" w14:textId="77777777" w:rsidR="00B24E0A" w:rsidRPr="007424E0" w:rsidRDefault="00B24E0A"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#1 answer – Yes, the minimum “dwelling unit” per unit hard cost budget is $25,000 for all properties proposing rehab. </w:t>
            </w:r>
          </w:p>
          <w:p w14:paraId="75556829" w14:textId="77777777" w:rsidR="00B24E0A" w:rsidRPr="007424E0" w:rsidRDefault="00B24E0A"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 xml:space="preserve">Question #2a answer – No, the minimum “dwelling unit” per unit hard cost budget of $25,000 does not include contingency. </w:t>
            </w:r>
          </w:p>
          <w:p w14:paraId="6889E53A" w14:textId="77777777" w:rsidR="00B24E0A" w:rsidRPr="007424E0" w:rsidRDefault="00B24E0A" w:rsidP="000F6D48">
            <w:pPr>
              <w:spacing w:after="160" w:line="259" w:lineRule="auto"/>
              <w:rPr>
                <w:rFonts w:ascii="Times New Roman" w:eastAsia="Times New Roman" w:hAnsi="Times New Roman" w:cs="Times New Roman"/>
                <w:color w:val="498205"/>
                <w:sz w:val="20"/>
                <w:szCs w:val="20"/>
                <w:u w:val="single"/>
              </w:rPr>
            </w:pPr>
            <w:r w:rsidRPr="007424E0">
              <w:rPr>
                <w:rFonts w:ascii="Times New Roman" w:eastAsia="Times New Roman" w:hAnsi="Times New Roman" w:cs="Times New Roman"/>
                <w:color w:val="000000" w:themeColor="text1"/>
                <w:sz w:val="20"/>
                <w:szCs w:val="20"/>
              </w:rPr>
              <w:t>Question #2b answer – Yes, this also applies for Section 8 deals.  Waivers are applicable per the guidance provided in both 2022 QAP and Architectural Manual – Rehabilitation Guide (</w:t>
            </w:r>
            <w:hyperlink r:id="rId32">
              <w:r w:rsidRPr="007424E0">
                <w:rPr>
                  <w:rStyle w:val="Hyperlink"/>
                  <w:rFonts w:ascii="Times New Roman" w:eastAsia="Times New Roman" w:hAnsi="Times New Roman" w:cs="Times New Roman"/>
                  <w:sz w:val="20"/>
                  <w:szCs w:val="20"/>
                </w:rPr>
                <w:t>click here</w:t>
              </w:r>
            </w:hyperlink>
            <w:r w:rsidRPr="007424E0">
              <w:rPr>
                <w:rFonts w:ascii="Times New Roman" w:eastAsia="Times New Roman" w:hAnsi="Times New Roman" w:cs="Times New Roman"/>
                <w:color w:val="000000" w:themeColor="text1"/>
                <w:sz w:val="20"/>
                <w:szCs w:val="20"/>
              </w:rPr>
              <w:t>).</w:t>
            </w:r>
          </w:p>
          <w:p w14:paraId="0D2BD77D" w14:textId="77777777" w:rsidR="00B24E0A" w:rsidRPr="007424E0" w:rsidRDefault="00B24E0A" w:rsidP="000F6D48">
            <w:pPr>
              <w:spacing w:after="160" w:line="259" w:lineRule="auto"/>
              <w:rPr>
                <w:rStyle w:val="IntenseReference"/>
                <w:rFonts w:ascii="Times New Roman" w:hAnsi="Times New Roman" w:cs="Times New Roman"/>
                <w:sz w:val="20"/>
                <w:szCs w:val="20"/>
              </w:rPr>
            </w:pPr>
            <w:r w:rsidRPr="007424E0">
              <w:rPr>
                <w:rFonts w:ascii="Times New Roman" w:eastAsia="Times New Roman" w:hAnsi="Times New Roman" w:cs="Times New Roman"/>
                <w:color w:val="000000" w:themeColor="text1"/>
                <w:sz w:val="20"/>
                <w:szCs w:val="20"/>
              </w:rPr>
              <w:t>Please see 2022 QAP and applicable Rehab Standards in Architectural Manual for full disclosure of work scope requirements and definition of “dwelling unit” along with guidance for allowable waivers for deals including a rehab component. DCA will not waive the minimum hard costs of $25,000 per dwelling unit requirement.</w:t>
            </w:r>
          </w:p>
        </w:tc>
      </w:tr>
      <w:tr w:rsidR="00B24E0A" w:rsidRPr="007424E0" w14:paraId="4064A930" w14:textId="77777777" w:rsidTr="64301FE8">
        <w:trPr>
          <w:trHeight w:val="1808"/>
          <w:jc w:val="center"/>
        </w:trPr>
        <w:tc>
          <w:tcPr>
            <w:tcW w:w="1697" w:type="dxa"/>
            <w:shd w:val="clear" w:color="auto" w:fill="auto"/>
            <w:tcMar>
              <w:top w:w="72" w:type="dxa"/>
              <w:left w:w="115" w:type="dxa"/>
              <w:bottom w:w="72" w:type="dxa"/>
              <w:right w:w="115" w:type="dxa"/>
            </w:tcMar>
            <w:vAlign w:val="center"/>
          </w:tcPr>
          <w:p w14:paraId="3BF55394"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7/27/22</w:t>
            </w:r>
          </w:p>
        </w:tc>
        <w:tc>
          <w:tcPr>
            <w:tcW w:w="2663" w:type="dxa"/>
            <w:shd w:val="clear" w:color="auto" w:fill="auto"/>
            <w:tcMar>
              <w:top w:w="72" w:type="dxa"/>
              <w:left w:w="115" w:type="dxa"/>
              <w:bottom w:w="72" w:type="dxa"/>
              <w:right w:w="115" w:type="dxa"/>
            </w:tcMar>
            <w:vAlign w:val="center"/>
          </w:tcPr>
          <w:p w14:paraId="4D9439C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1.10</w:t>
            </w:r>
          </w:p>
          <w:p w14:paraId="4A790EB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4% Federal Credit – Bond Financed Projects</w:t>
            </w:r>
          </w:p>
        </w:tc>
        <w:tc>
          <w:tcPr>
            <w:tcW w:w="9585" w:type="dxa"/>
            <w:shd w:val="clear" w:color="auto" w:fill="auto"/>
            <w:tcMar>
              <w:top w:w="72" w:type="dxa"/>
              <w:left w:w="115" w:type="dxa"/>
              <w:bottom w:w="72" w:type="dxa"/>
              <w:right w:w="115" w:type="dxa"/>
            </w:tcMar>
            <w:vAlign w:val="center"/>
          </w:tcPr>
          <w:p w14:paraId="21363549"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 ID:</w:t>
            </w:r>
            <w:r w:rsidRPr="007424E0">
              <w:rPr>
                <w:rFonts w:ascii="Times New Roman" w:eastAsia="Times New Roman" w:hAnsi="Times New Roman" w:cs="Times New Roman"/>
                <w:sz w:val="20"/>
                <w:szCs w:val="20"/>
              </w:rPr>
              <w:t xml:space="preserve"> 987916432 </w:t>
            </w:r>
            <w:r w:rsidRPr="007424E0">
              <w:rPr>
                <w:rFonts w:ascii="Times New Roman" w:hAnsi="Times New Roman" w:cs="Times New Roman"/>
                <w:sz w:val="20"/>
                <w:szCs w:val="20"/>
              </w:rPr>
              <w:br/>
            </w:r>
            <w:r w:rsidRPr="007424E0">
              <w:rPr>
                <w:rFonts w:ascii="Times New Roman" w:eastAsia="Times New Roman" w:hAnsi="Times New Roman" w:cs="Times New Roman"/>
                <w:sz w:val="20"/>
                <w:szCs w:val="20"/>
              </w:rPr>
              <w:t>I am preparing an application to submit a portfolio of properties for purposes of the 4%/Bonds Competitive Round (more than 10 properties). Given the higher upfront costs associated with portfolio developments, is there any leniency in relaxing certain requirements for portfolio applications?  </w:t>
            </w:r>
          </w:p>
          <w:p w14:paraId="37A6EAD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98C1239" w14:textId="77777777" w:rsidR="00B24E0A" w:rsidRPr="007424E0" w:rsidRDefault="00B24E0A" w:rsidP="000F6D48">
            <w:pPr>
              <w:rPr>
                <w:rStyle w:val="IntenseReference"/>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  </w:t>
            </w:r>
          </w:p>
          <w:p w14:paraId="2DA3DF9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Most “portfolio” applications are not eligible under the 2022 4%/Bonds Competitive Round. For purposes of this Q&amp;A, a “portfolio” application refers to a proposed development for which: </w:t>
            </w:r>
            <w:r w:rsidRPr="007424E0">
              <w:rPr>
                <w:rStyle w:val="eop"/>
                <w:rFonts w:eastAsiaTheme="majorEastAsia"/>
                <w:sz w:val="20"/>
                <w:szCs w:val="20"/>
              </w:rPr>
              <w:t> </w:t>
            </w:r>
          </w:p>
          <w:p w14:paraId="02C45C67" w14:textId="77777777" w:rsidR="00B24E0A" w:rsidRPr="007424E0" w:rsidRDefault="00B24E0A"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 xml:space="preserve">The application does not meet all requirements under </w:t>
            </w:r>
            <w:r w:rsidRPr="007424E0">
              <w:rPr>
                <w:rStyle w:val="normaltextrun"/>
                <w:b/>
                <w:bCs/>
                <w:sz w:val="20"/>
                <w:szCs w:val="20"/>
              </w:rPr>
              <w:t>(Core Plan) Eligibility of Certain Project Configurations</w:t>
            </w:r>
            <w:r w:rsidRPr="007424E0">
              <w:rPr>
                <w:rStyle w:val="normaltextrun"/>
                <w:sz w:val="20"/>
                <w:szCs w:val="20"/>
              </w:rPr>
              <w:t>, subsection</w:t>
            </w:r>
            <w:r w:rsidRPr="007424E0">
              <w:rPr>
                <w:rStyle w:val="normaltextrun"/>
                <w:b/>
                <w:bCs/>
                <w:sz w:val="20"/>
                <w:szCs w:val="20"/>
              </w:rPr>
              <w:t xml:space="preserve"> A. Eligibility of Scattered Sites</w:t>
            </w:r>
            <w:r w:rsidRPr="007424E0">
              <w:rPr>
                <w:rStyle w:val="eop"/>
                <w:rFonts w:eastAsiaTheme="majorEastAsia"/>
                <w:sz w:val="20"/>
                <w:szCs w:val="20"/>
              </w:rPr>
              <w:t> </w:t>
            </w:r>
          </w:p>
          <w:p w14:paraId="42197AAA" w14:textId="77777777" w:rsidR="00B24E0A" w:rsidRPr="007424E0" w:rsidRDefault="00B24E0A" w:rsidP="000F6D48">
            <w:pPr>
              <w:pStyle w:val="paragraph"/>
              <w:numPr>
                <w:ilvl w:val="0"/>
                <w:numId w:val="55"/>
              </w:numPr>
              <w:spacing w:before="0" w:beforeAutospacing="0" w:after="0" w:afterAutospacing="0"/>
              <w:ind w:left="1080" w:firstLine="0"/>
              <w:textAlignment w:val="baseline"/>
              <w:rPr>
                <w:sz w:val="20"/>
                <w:szCs w:val="20"/>
              </w:rPr>
            </w:pPr>
            <w:r w:rsidRPr="007424E0">
              <w:rPr>
                <w:rStyle w:val="normaltextrun"/>
                <w:sz w:val="20"/>
                <w:szCs w:val="20"/>
              </w:rPr>
              <w:t>Upon completion, each building’s 8609 form is not associated only one “project” (federal definition). </w:t>
            </w:r>
            <w:r w:rsidRPr="007424E0">
              <w:rPr>
                <w:rStyle w:val="eop"/>
                <w:rFonts w:eastAsiaTheme="majorEastAsia"/>
                <w:sz w:val="20"/>
                <w:szCs w:val="20"/>
              </w:rPr>
              <w:t> </w:t>
            </w:r>
          </w:p>
          <w:p w14:paraId="66839BC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61FC383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Any individual application must either be a single-site application or qualify as a “scattered site.” Thus, the only allowable type of “portfolio” application would be a portfolio development consisting of no more than 2 or 3 separate applications (see </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 xml:space="preserve">C. Additional Requirements for 4% Credit Applications </w:t>
            </w:r>
            <w:r w:rsidRPr="007424E0">
              <w:rPr>
                <w:rStyle w:val="normaltextrun"/>
                <w:sz w:val="20"/>
                <w:szCs w:val="20"/>
              </w:rPr>
              <w:t>for application limit information).</w:t>
            </w:r>
            <w:r w:rsidRPr="007424E0">
              <w:rPr>
                <w:rStyle w:val="normaltextrun"/>
                <w:b/>
                <w:bCs/>
                <w:sz w:val="20"/>
                <w:szCs w:val="20"/>
              </w:rPr>
              <w:t> </w:t>
            </w:r>
            <w:r w:rsidRPr="007424E0">
              <w:rPr>
                <w:rStyle w:val="eop"/>
                <w:rFonts w:eastAsiaTheme="majorEastAsia"/>
                <w:sz w:val="20"/>
                <w:szCs w:val="20"/>
              </w:rPr>
              <w:t> </w:t>
            </w:r>
          </w:p>
          <w:p w14:paraId="2404CFA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Theme="majorEastAsia"/>
                <w:sz w:val="20"/>
                <w:szCs w:val="20"/>
              </w:rPr>
              <w:t> </w:t>
            </w:r>
          </w:p>
          <w:p w14:paraId="679DF17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Even for the above 2- or 3-site portfolio application instances, please note that</w:t>
            </w:r>
            <w:r w:rsidRPr="007424E0">
              <w:rPr>
                <w:rStyle w:val="normaltextrun"/>
                <w:b/>
                <w:bCs/>
                <w:sz w:val="20"/>
                <w:szCs w:val="20"/>
              </w:rPr>
              <w:t xml:space="preserve"> (Core Plan) 4% Federal Credit – Bond Financed Projects</w:t>
            </w:r>
            <w:r w:rsidRPr="007424E0">
              <w:rPr>
                <w:rStyle w:val="normaltextrun"/>
                <w:sz w:val="20"/>
                <w:szCs w:val="20"/>
              </w:rPr>
              <w:t xml:space="preserve">, </w:t>
            </w:r>
            <w:r w:rsidRPr="007424E0">
              <w:rPr>
                <w:rStyle w:val="normaltextrun"/>
                <w:b/>
                <w:bCs/>
                <w:sz w:val="20"/>
                <w:szCs w:val="20"/>
              </w:rPr>
              <w:t>B. Application Restrictions</w:t>
            </w:r>
            <w:r w:rsidRPr="007424E0">
              <w:rPr>
                <w:rStyle w:val="normaltextrun"/>
                <w:sz w:val="20"/>
                <w:szCs w:val="20"/>
              </w:rPr>
              <w:t xml:space="preserve"> requires that “Each Application must be associated with one bond issuance.”</w:t>
            </w:r>
            <w:r w:rsidRPr="007424E0">
              <w:rPr>
                <w:rStyle w:val="eop"/>
                <w:rFonts w:eastAsiaTheme="majorEastAsia"/>
                <w:sz w:val="20"/>
                <w:szCs w:val="20"/>
              </w:rPr>
              <w:t> </w:t>
            </w:r>
          </w:p>
          <w:p w14:paraId="31450885"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6A8D4738" w14:textId="77777777" w:rsidTr="64301FE8">
        <w:trPr>
          <w:trHeight w:val="548"/>
          <w:jc w:val="center"/>
        </w:trPr>
        <w:tc>
          <w:tcPr>
            <w:tcW w:w="1697" w:type="dxa"/>
            <w:shd w:val="clear" w:color="auto" w:fill="auto"/>
            <w:tcMar>
              <w:top w:w="72" w:type="dxa"/>
              <w:left w:w="115" w:type="dxa"/>
              <w:bottom w:w="72" w:type="dxa"/>
              <w:right w:w="115" w:type="dxa"/>
            </w:tcMar>
            <w:vAlign w:val="center"/>
          </w:tcPr>
          <w:p w14:paraId="70BB6C3A"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6/3/22</w:t>
            </w:r>
          </w:p>
        </w:tc>
        <w:tc>
          <w:tcPr>
            <w:tcW w:w="2663" w:type="dxa"/>
            <w:shd w:val="clear" w:color="auto" w:fill="auto"/>
            <w:tcMar>
              <w:top w:w="72" w:type="dxa"/>
              <w:left w:w="115" w:type="dxa"/>
              <w:bottom w:w="72" w:type="dxa"/>
              <w:right w:w="115" w:type="dxa"/>
            </w:tcMar>
            <w:vAlign w:val="center"/>
          </w:tcPr>
          <w:p w14:paraId="6133EC7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3.23</w:t>
            </w:r>
          </w:p>
          <w:p w14:paraId="2002C98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5F9FA0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Compliance Performance</w:t>
            </w:r>
          </w:p>
        </w:tc>
        <w:tc>
          <w:tcPr>
            <w:tcW w:w="9585" w:type="dxa"/>
            <w:shd w:val="clear" w:color="auto" w:fill="auto"/>
            <w:tcMar>
              <w:top w:w="72" w:type="dxa"/>
              <w:left w:w="115" w:type="dxa"/>
              <w:bottom w:w="72" w:type="dxa"/>
              <w:right w:w="115" w:type="dxa"/>
            </w:tcMar>
            <w:vAlign w:val="center"/>
          </w:tcPr>
          <w:p w14:paraId="01FA1BB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Q22_0526_01 </w:t>
            </w:r>
          </w:p>
          <w:p w14:paraId="7306EDC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Is the below QAP excerpt true? It seems unfair and a steep penalty. </w:t>
            </w:r>
          </w:p>
          <w:p w14:paraId="6BDD26D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E27E96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(Scoring) Compliance Performance, A. Calculation of Point Deductions, 1. Significant Adverse Events (SAE):</w:t>
            </w:r>
            <w:r w:rsidRPr="007424E0">
              <w:rPr>
                <w:rFonts w:ascii="Times New Roman" w:eastAsia="Times New Roman" w:hAnsi="Times New Roman" w:cs="Times New Roman"/>
                <w:color w:val="000000"/>
                <w:sz w:val="20"/>
                <w:szCs w:val="20"/>
              </w:rPr>
              <w:t> </w:t>
            </w:r>
          </w:p>
          <w:p w14:paraId="7C31485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9B209FB"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“A five (5) point deduction for the occurrence of each SAE for which a waiver was granted or renewed including but not limited to:</w:t>
            </w:r>
            <w:r w:rsidRPr="007424E0">
              <w:rPr>
                <w:rFonts w:ascii="Times New Roman" w:eastAsia="Times New Roman" w:hAnsi="Times New Roman" w:cs="Times New Roman"/>
                <w:color w:val="000000"/>
                <w:sz w:val="20"/>
                <w:szCs w:val="20"/>
              </w:rPr>
              <w:t> </w:t>
            </w:r>
          </w:p>
          <w:p w14:paraId="0E358EC5"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295"/>
              <w:gridCol w:w="3315"/>
            </w:tblGrid>
            <w:tr w:rsidR="00B24E0A" w:rsidRPr="007424E0" w14:paraId="11035D40" w14:textId="77777777" w:rsidTr="00747B98">
              <w:tc>
                <w:tcPr>
                  <w:tcW w:w="5295"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7B2D1F7" w14:textId="77777777" w:rsidR="00B24E0A" w:rsidRPr="007424E0" w:rsidRDefault="00B24E0A"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SIGNIFICANT ADVERSE EVENT</w:t>
                  </w:r>
                  <w:r w:rsidRPr="007424E0">
                    <w:rPr>
                      <w:rFonts w:ascii="Times New Roman" w:eastAsia="Times New Roman" w:hAnsi="Times New Roman" w:cs="Times New Roman"/>
                      <w:color w:val="000000"/>
                      <w:sz w:val="20"/>
                      <w:szCs w:val="20"/>
                    </w:rPr>
                    <w:t> </w:t>
                  </w:r>
                </w:p>
              </w:tc>
              <w:tc>
                <w:tcPr>
                  <w:tcW w:w="3315" w:type="dxa"/>
                  <w:tcBorders>
                    <w:top w:val="single" w:sz="6" w:space="0" w:color="auto"/>
                    <w:left w:val="nil"/>
                    <w:bottom w:val="single" w:sz="6" w:space="0" w:color="auto"/>
                    <w:right w:val="single" w:sz="6" w:space="0" w:color="auto"/>
                  </w:tcBorders>
                  <w:shd w:val="clear" w:color="auto" w:fill="auto"/>
                  <w:hideMark/>
                </w:tcPr>
                <w:p w14:paraId="622DC59F" w14:textId="77777777" w:rsidR="00B24E0A" w:rsidRPr="007424E0" w:rsidRDefault="00B24E0A"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i/>
                      <w:iCs/>
                      <w:color w:val="000000"/>
                      <w:sz w:val="20"/>
                      <w:szCs w:val="20"/>
                    </w:rPr>
                    <w:t>LOOK BACK PERIOD (FROM APPLICATION SUBMISSION DATE)</w:t>
                  </w:r>
                  <w:r w:rsidRPr="007424E0">
                    <w:rPr>
                      <w:rFonts w:ascii="Times New Roman" w:eastAsia="Times New Roman" w:hAnsi="Times New Roman" w:cs="Times New Roman"/>
                      <w:color w:val="000000"/>
                      <w:sz w:val="20"/>
                      <w:szCs w:val="20"/>
                    </w:rPr>
                    <w:t> </w:t>
                  </w:r>
                </w:p>
              </w:tc>
            </w:tr>
            <w:tr w:rsidR="00B24E0A" w:rsidRPr="007424E0" w14:paraId="49FFE78A" w14:textId="77777777" w:rsidTr="00747B98">
              <w:tc>
                <w:tcPr>
                  <w:tcW w:w="5295" w:type="dxa"/>
                  <w:tcBorders>
                    <w:top w:val="nil"/>
                    <w:left w:val="single" w:sz="6" w:space="0" w:color="auto"/>
                    <w:bottom w:val="single" w:sz="6" w:space="0" w:color="auto"/>
                    <w:right w:val="single" w:sz="6" w:space="0" w:color="auto"/>
                  </w:tcBorders>
                  <w:shd w:val="clear" w:color="auto" w:fill="auto"/>
                  <w:hideMark/>
                </w:tcPr>
                <w:p w14:paraId="491D16B9" w14:textId="77777777" w:rsidR="00B24E0A" w:rsidRPr="007424E0" w:rsidRDefault="00B24E0A" w:rsidP="000F6D48">
                  <w:pPr>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A Fair Housing investigation by any government agency on any Affordable Housing property which resulted in a lawsuit (regardless of the outcome), a negotiation for settlement, and/or a settlement agreement</w:t>
                  </w:r>
                  <w:r w:rsidRPr="007424E0">
                    <w:rPr>
                      <w:rFonts w:ascii="Times New Roman" w:eastAsia="Times New Roman" w:hAnsi="Times New Roman" w:cs="Times New Roman"/>
                      <w:color w:val="000000"/>
                      <w:sz w:val="20"/>
                      <w:szCs w:val="20"/>
                    </w:rPr>
                    <w:t> </w:t>
                  </w:r>
                </w:p>
              </w:tc>
              <w:tc>
                <w:tcPr>
                  <w:tcW w:w="3315" w:type="dxa"/>
                  <w:tcBorders>
                    <w:top w:val="nil"/>
                    <w:left w:val="nil"/>
                    <w:bottom w:val="single" w:sz="6" w:space="0" w:color="auto"/>
                    <w:right w:val="single" w:sz="6" w:space="0" w:color="auto"/>
                  </w:tcBorders>
                  <w:shd w:val="clear" w:color="auto" w:fill="auto"/>
                  <w:vAlign w:val="center"/>
                  <w:hideMark/>
                </w:tcPr>
                <w:p w14:paraId="7BFD9311" w14:textId="77777777" w:rsidR="00B24E0A" w:rsidRPr="007424E0" w:rsidRDefault="00B24E0A" w:rsidP="000F6D48">
                  <w:pPr>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10 Years”</w:t>
                  </w:r>
                  <w:r w:rsidRPr="007424E0">
                    <w:rPr>
                      <w:rFonts w:ascii="Times New Roman" w:eastAsia="Times New Roman" w:hAnsi="Times New Roman" w:cs="Times New Roman"/>
                      <w:color w:val="000000"/>
                      <w:sz w:val="20"/>
                      <w:szCs w:val="20"/>
                    </w:rPr>
                    <w:t> </w:t>
                  </w:r>
                </w:p>
              </w:tc>
            </w:tr>
          </w:tbl>
          <w:p w14:paraId="7962766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165C62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870AE5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under the 2022 QAP, the above-described event is considered a Significant Adverse Event and would result in a five point deduction if it occurred within the indicated look back period. </w:t>
            </w:r>
          </w:p>
          <w:p w14:paraId="25DD6BC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A7D0DF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To provide feedback regarding this provision for purposes of future QAPs, please submit through the year-round </w:t>
            </w:r>
            <w:hyperlink r:id="rId33" w:tgtFrame="_blank" w:history="1">
              <w:r w:rsidRPr="007424E0">
                <w:rPr>
                  <w:rFonts w:ascii="Times New Roman" w:eastAsia="Times New Roman" w:hAnsi="Times New Roman" w:cs="Times New Roman"/>
                  <w:color w:val="0563C1"/>
                  <w:sz w:val="20"/>
                  <w:szCs w:val="20"/>
                  <w:u w:val="single"/>
                </w:rPr>
                <w:t>QAP Public Input Survey</w:t>
              </w:r>
            </w:hyperlink>
            <w:r w:rsidRPr="007424E0">
              <w:rPr>
                <w:rFonts w:ascii="Times New Roman" w:eastAsia="Times New Roman" w:hAnsi="Times New Roman" w:cs="Times New Roman"/>
                <w:sz w:val="20"/>
                <w:szCs w:val="20"/>
              </w:rPr>
              <w:t>.</w:t>
            </w:r>
          </w:p>
        </w:tc>
      </w:tr>
      <w:tr w:rsidR="00B24E0A" w:rsidRPr="007424E0" w14:paraId="34ED6595" w14:textId="77777777" w:rsidTr="64301FE8">
        <w:trPr>
          <w:jc w:val="center"/>
        </w:trPr>
        <w:tc>
          <w:tcPr>
            <w:tcW w:w="1697" w:type="dxa"/>
            <w:shd w:val="clear" w:color="auto" w:fill="auto"/>
            <w:tcMar>
              <w:top w:w="72" w:type="dxa"/>
              <w:left w:w="115" w:type="dxa"/>
              <w:bottom w:w="72" w:type="dxa"/>
              <w:right w:w="115" w:type="dxa"/>
            </w:tcMar>
            <w:vAlign w:val="center"/>
          </w:tcPr>
          <w:p w14:paraId="48F219A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0ACF854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563975B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5660E2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6738CC3F" w14:textId="77777777" w:rsidR="00B24E0A" w:rsidRPr="007424E0" w:rsidRDefault="00B24E0A" w:rsidP="000F6D48">
            <w:pPr>
              <w:rPr>
                <w:rFonts w:ascii="Times New Roman" w:hAnsi="Times New Roman" w:cs="Times New Roman"/>
                <w:sz w:val="20"/>
                <w:szCs w:val="20"/>
              </w:rPr>
            </w:pPr>
          </w:p>
          <w:p w14:paraId="09007903" w14:textId="77777777" w:rsidR="00B24E0A" w:rsidRPr="007424E0" w:rsidRDefault="00B24E0A" w:rsidP="000F6D48">
            <w:pPr>
              <w:rPr>
                <w:rFonts w:ascii="Times New Roman" w:hAnsi="Times New Roman" w:cs="Times New Roman"/>
                <w:sz w:val="20"/>
                <w:szCs w:val="20"/>
              </w:rPr>
            </w:pPr>
          </w:p>
          <w:p w14:paraId="722F1FA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2.14 Threshold; Community Service Facilities)</w:t>
            </w:r>
          </w:p>
        </w:tc>
        <w:tc>
          <w:tcPr>
            <w:tcW w:w="9585" w:type="dxa"/>
            <w:shd w:val="clear" w:color="auto" w:fill="auto"/>
            <w:tcMar>
              <w:top w:w="72" w:type="dxa"/>
              <w:left w:w="115" w:type="dxa"/>
              <w:bottom w:w="72" w:type="dxa"/>
              <w:right w:w="115" w:type="dxa"/>
            </w:tcMar>
            <w:vAlign w:val="center"/>
          </w:tcPr>
          <w:p w14:paraId="14DF743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Q22_0525_19 </w:t>
            </w:r>
          </w:p>
          <w:p w14:paraId="5B7AFEC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The Revenues &amp; Expenses tab of the Core Application does not have a line for commercial space square footage. How should commercial space square footage be reflected in the Excel Core Application? </w:t>
            </w:r>
          </w:p>
          <w:p w14:paraId="188D287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A55D64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A09A64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2. Income</w:t>
            </w:r>
            <w:r w:rsidRPr="007424E0">
              <w:rPr>
                <w:rFonts w:ascii="Times New Roman" w:eastAsia="Times New Roman" w:hAnsi="Times New Roman" w:cs="Times New Roman"/>
                <w:sz w:val="20"/>
                <w:szCs w:val="20"/>
              </w:rPr>
              <w:t xml:space="preserve"> states that for purposes of ancillary income, “income from commercial space…will not be considered.” Therefore, commercial space square footage should not be reflected on the </w:t>
            </w:r>
            <w:r w:rsidRPr="007424E0">
              <w:rPr>
                <w:rFonts w:ascii="Times New Roman" w:eastAsia="Times New Roman" w:hAnsi="Times New Roman" w:cs="Times New Roman"/>
                <w:i/>
                <w:iCs/>
                <w:sz w:val="20"/>
                <w:szCs w:val="20"/>
              </w:rPr>
              <w:t>Revenues and Expenses</w:t>
            </w:r>
            <w:r w:rsidRPr="007424E0">
              <w:rPr>
                <w:rFonts w:ascii="Times New Roman" w:eastAsia="Times New Roman" w:hAnsi="Times New Roman" w:cs="Times New Roman"/>
                <w:sz w:val="20"/>
                <w:szCs w:val="20"/>
              </w:rPr>
              <w:t xml:space="preserve"> tab. </w:t>
            </w:r>
          </w:p>
          <w:p w14:paraId="6F3DA96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B9958B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Applicants proposing a commercial space that qualifies as a Community Service Facility for purposes of </w:t>
            </w:r>
            <w:r w:rsidRPr="007424E0">
              <w:rPr>
                <w:rFonts w:ascii="Times New Roman" w:eastAsia="Times New Roman" w:hAnsi="Times New Roman" w:cs="Times New Roman"/>
                <w:b/>
                <w:bCs/>
                <w:sz w:val="20"/>
                <w:szCs w:val="20"/>
              </w:rPr>
              <w:t>(Threshold Criteria) Community Service Facilities</w:t>
            </w:r>
            <w:r w:rsidRPr="007424E0">
              <w:rPr>
                <w:rFonts w:ascii="Times New Roman" w:eastAsia="Times New Roman" w:hAnsi="Times New Roman" w:cs="Times New Roman"/>
                <w:sz w:val="20"/>
                <w:szCs w:val="20"/>
              </w:rPr>
              <w:t xml:space="preserve"> should review the documentation requirements for that section. For all other types of commercial spaces, applicants can detail the square footage and any other relevant information in the “Applicant Comments and Clarifications” box of the </w:t>
            </w:r>
            <w:r w:rsidRPr="007424E0">
              <w:rPr>
                <w:rFonts w:ascii="Times New Roman" w:eastAsia="Times New Roman" w:hAnsi="Times New Roman" w:cs="Times New Roman"/>
                <w:i/>
                <w:iCs/>
                <w:sz w:val="20"/>
                <w:szCs w:val="20"/>
              </w:rPr>
              <w:t>Uses of Funds</w:t>
            </w:r>
            <w:r w:rsidRPr="007424E0">
              <w:rPr>
                <w:rFonts w:ascii="Times New Roman" w:eastAsia="Times New Roman" w:hAnsi="Times New Roman" w:cs="Times New Roman"/>
                <w:sz w:val="20"/>
                <w:szCs w:val="20"/>
              </w:rPr>
              <w:t xml:space="preserve"> tab in the Excel Core Application. DCA underwriters may request additional information regarding commercial spaces through the clarifications process.  </w:t>
            </w:r>
          </w:p>
        </w:tc>
      </w:tr>
      <w:tr w:rsidR="00B24E0A" w:rsidRPr="007424E0" w14:paraId="1E9FC75D" w14:textId="77777777" w:rsidTr="64301FE8">
        <w:trPr>
          <w:jc w:val="center"/>
        </w:trPr>
        <w:tc>
          <w:tcPr>
            <w:tcW w:w="1697" w:type="dxa"/>
            <w:shd w:val="clear" w:color="auto" w:fill="auto"/>
            <w:tcMar>
              <w:top w:w="72" w:type="dxa"/>
              <w:left w:w="115" w:type="dxa"/>
              <w:bottom w:w="72" w:type="dxa"/>
              <w:right w:w="115" w:type="dxa"/>
            </w:tcMar>
            <w:vAlign w:val="center"/>
          </w:tcPr>
          <w:p w14:paraId="125EDDB2"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C6BC3F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2D49AD7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E9002F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75CFD1E4" w14:textId="77777777" w:rsidR="00B24E0A" w:rsidRPr="007424E0" w:rsidRDefault="00B24E0A" w:rsidP="000F6D48">
            <w:pPr>
              <w:rPr>
                <w:rFonts w:ascii="Times New Roman" w:hAnsi="Times New Roman" w:cs="Times New Roman"/>
                <w:sz w:val="20"/>
                <w:szCs w:val="20"/>
              </w:rPr>
            </w:pPr>
          </w:p>
          <w:p w14:paraId="40B40F57" w14:textId="77777777" w:rsidR="00B24E0A" w:rsidRPr="007424E0" w:rsidRDefault="00B24E0A" w:rsidP="000F6D48">
            <w:pPr>
              <w:rPr>
                <w:rFonts w:ascii="Times New Roman" w:hAnsi="Times New Roman" w:cs="Times New Roman"/>
                <w:sz w:val="20"/>
                <w:szCs w:val="20"/>
              </w:rPr>
            </w:pPr>
          </w:p>
          <w:p w14:paraId="56BD4BA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2.06 Threshold; Appraisals)</w:t>
            </w:r>
          </w:p>
        </w:tc>
        <w:tc>
          <w:tcPr>
            <w:tcW w:w="9585" w:type="dxa"/>
            <w:shd w:val="clear" w:color="auto" w:fill="auto"/>
            <w:tcMar>
              <w:top w:w="72" w:type="dxa"/>
              <w:left w:w="115" w:type="dxa"/>
              <w:bottom w:w="72" w:type="dxa"/>
              <w:right w:w="115" w:type="dxa"/>
            </w:tcMar>
            <w:vAlign w:val="center"/>
          </w:tcPr>
          <w:p w14:paraId="370C37B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Q22_0520_05a</w:t>
            </w:r>
          </w:p>
          <w:p w14:paraId="6AC20620"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We are proposing an urban infill/mixed use/mixed-income development with significant commercial space required due to codes - No minimum parking requirement. We have several questions related to the planned parking and commercial components:</w:t>
            </w:r>
            <w:r w:rsidRPr="007424E0">
              <w:rPr>
                <w:rFonts w:ascii="Times New Roman" w:eastAsia="Times New Roman" w:hAnsi="Times New Roman" w:cs="Times New Roman"/>
                <w:color w:val="000000" w:themeColor="text1"/>
                <w:sz w:val="20"/>
                <w:szCs w:val="20"/>
              </w:rPr>
              <w:br/>
            </w:r>
          </w:p>
          <w:p w14:paraId="3071DEA1" w14:textId="77777777" w:rsidR="00B24E0A" w:rsidRPr="007424E0" w:rsidRDefault="00B24E0A" w:rsidP="000F6D48">
            <w:pPr>
              <w:numPr>
                <w:ilvl w:val="1"/>
                <w:numId w:val="48"/>
              </w:numPr>
              <w:contextualSpacing/>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Parking for Affordable Units: We would like to build parking because we think some (but not all) tenants may desire parking. This parking would be available at an additional cost to affordable tenants. Can we include costs or income associated with this parking into our model?</w:t>
            </w:r>
            <w:r w:rsidRPr="007424E0">
              <w:rPr>
                <w:rFonts w:ascii="Times New Roman" w:eastAsia="Times New Roman" w:hAnsi="Times New Roman" w:cs="Times New Roman"/>
                <w:color w:val="000000" w:themeColor="text1"/>
                <w:sz w:val="20"/>
                <w:szCs w:val="20"/>
              </w:rPr>
              <w:br/>
            </w:r>
          </w:p>
          <w:p w14:paraId="1B769AA3" w14:textId="77777777" w:rsidR="00B24E0A" w:rsidRPr="007424E0" w:rsidRDefault="00B24E0A"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Parking for Market Units: To achieve market rents we'd also like to build parking which would be available at an additional cost to market rate tenants. Can we include costs or income associated with this parking into our model?</w:t>
            </w:r>
          </w:p>
          <w:p w14:paraId="30171204" w14:textId="77777777" w:rsidR="00B24E0A" w:rsidRPr="007424E0" w:rsidRDefault="00B24E0A" w:rsidP="000F6D48">
            <w:pPr>
              <w:ind w:left="1440"/>
              <w:contextualSpacing/>
              <w:rPr>
                <w:rFonts w:ascii="Times New Roman" w:hAnsi="Times New Roman" w:cs="Times New Roman"/>
                <w:color w:val="000000" w:themeColor="text1"/>
                <w:sz w:val="20"/>
                <w:szCs w:val="20"/>
              </w:rPr>
            </w:pPr>
          </w:p>
          <w:p w14:paraId="001B0324" w14:textId="77777777" w:rsidR="00B24E0A" w:rsidRPr="007424E0" w:rsidRDefault="00B24E0A" w:rsidP="000F6D48">
            <w:pPr>
              <w:numPr>
                <w:ilvl w:val="1"/>
                <w:numId w:val="48"/>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Non-Required Commercial Parking: We expect additional parking demand from the required commercial component of our project (as well as from our urban neighbors). Can we include costs or income associated with this parking into our model?</w:t>
            </w:r>
          </w:p>
          <w:p w14:paraId="27542DD5" w14:textId="77777777" w:rsidR="00B24E0A" w:rsidRPr="007424E0" w:rsidRDefault="00B24E0A" w:rsidP="000F6D48">
            <w:pPr>
              <w:ind w:left="720"/>
              <w:contextualSpacing/>
              <w:rPr>
                <w:rFonts w:ascii="Times New Roman" w:hAnsi="Times New Roman" w:cs="Times New Roman"/>
                <w:color w:val="000000" w:themeColor="text1"/>
                <w:sz w:val="20"/>
                <w:szCs w:val="20"/>
              </w:rPr>
            </w:pPr>
          </w:p>
          <w:p w14:paraId="636F0F3B" w14:textId="77777777" w:rsidR="00B24E0A" w:rsidRPr="007424E0" w:rsidRDefault="00B24E0A"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If we are not allowed to incorporate these components into our application model, can we instead condo these components so that neither the costs nor the income is included in our model?</w:t>
            </w:r>
          </w:p>
          <w:p w14:paraId="36A84445" w14:textId="77777777" w:rsidR="00B24E0A" w:rsidRPr="007424E0" w:rsidRDefault="00B24E0A" w:rsidP="000F6D48">
            <w:pPr>
              <w:rPr>
                <w:rFonts w:ascii="Times New Roman" w:hAnsi="Times New Roman" w:cs="Times New Roman"/>
                <w:color w:val="000000" w:themeColor="text1"/>
                <w:sz w:val="20"/>
                <w:szCs w:val="20"/>
              </w:rPr>
            </w:pPr>
          </w:p>
          <w:p w14:paraId="704FCBE0" w14:textId="77777777" w:rsidR="00B24E0A" w:rsidRPr="007424E0" w:rsidRDefault="00B24E0A"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If so, what information should we provide on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components? </w:t>
            </w:r>
          </w:p>
          <w:p w14:paraId="404D5526" w14:textId="77777777" w:rsidR="00B24E0A" w:rsidRPr="007424E0" w:rsidRDefault="00B24E0A" w:rsidP="000F6D48">
            <w:pPr>
              <w:rPr>
                <w:rFonts w:ascii="Times New Roman" w:hAnsi="Times New Roman" w:cs="Times New Roman"/>
                <w:color w:val="000000" w:themeColor="text1"/>
                <w:sz w:val="20"/>
                <w:szCs w:val="20"/>
              </w:rPr>
            </w:pPr>
          </w:p>
          <w:p w14:paraId="71C8678C" w14:textId="77777777" w:rsidR="00B24E0A" w:rsidRPr="007424E0" w:rsidRDefault="00B24E0A" w:rsidP="000F6D48">
            <w:pPr>
              <w:numPr>
                <w:ilvl w:val="0"/>
                <w:numId w:val="50"/>
              </w:numPr>
              <w:contextualSpacing/>
              <w:rPr>
                <w:rFonts w:ascii="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Do you have any required method for allocating land costs across the component of the development included in our application and the </w:t>
            </w:r>
            <w:proofErr w:type="spellStart"/>
            <w:r w:rsidRPr="007424E0">
              <w:rPr>
                <w:rFonts w:ascii="Times New Roman" w:eastAsia="Times New Roman" w:hAnsi="Times New Roman" w:cs="Times New Roman"/>
                <w:color w:val="000000" w:themeColor="text1"/>
                <w:sz w:val="20"/>
                <w:szCs w:val="20"/>
              </w:rPr>
              <w:t>condoed</w:t>
            </w:r>
            <w:proofErr w:type="spellEnd"/>
            <w:r w:rsidRPr="007424E0">
              <w:rPr>
                <w:rFonts w:ascii="Times New Roman" w:eastAsia="Times New Roman" w:hAnsi="Times New Roman" w:cs="Times New Roman"/>
                <w:color w:val="000000" w:themeColor="text1"/>
                <w:sz w:val="20"/>
                <w:szCs w:val="20"/>
              </w:rPr>
              <w:t xml:space="preserve"> out component? Is a pro rata allocation based on land area acceptable?</w:t>
            </w:r>
          </w:p>
          <w:p w14:paraId="30395069" w14:textId="77777777" w:rsidR="00B24E0A" w:rsidRPr="007424E0" w:rsidRDefault="00B24E0A" w:rsidP="000F6D48">
            <w:pPr>
              <w:contextualSpacing/>
              <w:rPr>
                <w:rFonts w:ascii="Times New Roman" w:hAnsi="Times New Roman" w:cs="Times New Roman"/>
                <w:sz w:val="20"/>
                <w:szCs w:val="20"/>
              </w:rPr>
            </w:pPr>
          </w:p>
          <w:p w14:paraId="21CE8B03"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0BB7B4C8" w14:textId="77777777" w:rsidR="00B24E0A" w:rsidRPr="007424E0" w:rsidRDefault="00B24E0A" w:rsidP="000F6D48">
            <w:pPr>
              <w:rPr>
                <w:rFonts w:ascii="Times New Roman" w:hAnsi="Times New Roman" w:cs="Times New Roman"/>
                <w:sz w:val="20"/>
                <w:szCs w:val="20"/>
              </w:rPr>
            </w:pPr>
          </w:p>
          <w:p w14:paraId="219F031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income</w:t>
            </w:r>
            <w:r w:rsidRPr="007424E0">
              <w:rPr>
                <w:rFonts w:ascii="Times New Roman" w:hAnsi="Times New Roman" w:cs="Times New Roman"/>
                <w:sz w:val="20"/>
                <w:szCs w:val="20"/>
              </w:rPr>
              <w:t xml:space="preserve">: Regarding the inclusion of parking income as a source of revenue in the application’s financial model,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subsection </w:t>
            </w:r>
            <w:r w:rsidRPr="007424E0">
              <w:rPr>
                <w:rFonts w:ascii="Times New Roman" w:hAnsi="Times New Roman" w:cs="Times New Roman"/>
                <w:b/>
                <w:bCs/>
                <w:sz w:val="20"/>
                <w:szCs w:val="20"/>
              </w:rPr>
              <w:t>2. Income</w:t>
            </w:r>
            <w:r w:rsidRPr="007424E0">
              <w:rPr>
                <w:rFonts w:ascii="Times New Roman" w:hAnsi="Times New Roman" w:cs="Times New Roman"/>
                <w:sz w:val="20"/>
                <w:szCs w:val="20"/>
              </w:rPr>
              <w:t xml:space="preserve"> states that income from fees (including parking fees) cannot be included in the model (“</w:t>
            </w:r>
            <w:r w:rsidRPr="007424E0">
              <w:rPr>
                <w:rFonts w:ascii="Times New Roman" w:hAnsi="Times New Roman" w:cs="Times New Roman"/>
                <w:i/>
                <w:iCs/>
                <w:sz w:val="20"/>
                <w:szCs w:val="20"/>
              </w:rPr>
              <w:t>[For] Rental income plus ancillary income…income from…fees…will not be considered</w:t>
            </w:r>
            <w:r w:rsidRPr="007424E0">
              <w:rPr>
                <w:rFonts w:ascii="Times New Roman" w:hAnsi="Times New Roman" w:cs="Times New Roman"/>
                <w:sz w:val="20"/>
                <w:szCs w:val="20"/>
              </w:rPr>
              <w:t xml:space="preserve">”).  </w:t>
            </w:r>
          </w:p>
          <w:p w14:paraId="6C469086" w14:textId="77777777" w:rsidR="00B24E0A" w:rsidRPr="007424E0" w:rsidRDefault="00B24E0A" w:rsidP="000F6D48">
            <w:pPr>
              <w:rPr>
                <w:rFonts w:ascii="Times New Roman" w:hAnsi="Times New Roman" w:cs="Times New Roman"/>
                <w:sz w:val="20"/>
                <w:szCs w:val="20"/>
              </w:rPr>
            </w:pPr>
          </w:p>
          <w:p w14:paraId="6A23589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affordable units</w:t>
            </w:r>
            <w:r w:rsidRPr="007424E0">
              <w:rPr>
                <w:rFonts w:ascii="Times New Roman" w:hAnsi="Times New Roman" w:cs="Times New Roman"/>
                <w:sz w:val="20"/>
                <w:szCs w:val="20"/>
              </w:rPr>
              <w:t xml:space="preserve">: Regarding the inclusion of development costs for parking intended to serve affordable units, DCA does not have a position that is different from IRC Section 42. </w:t>
            </w:r>
          </w:p>
          <w:p w14:paraId="690A990E" w14:textId="77777777" w:rsidR="00B24E0A" w:rsidRPr="007424E0" w:rsidRDefault="00B24E0A" w:rsidP="000F6D48">
            <w:pPr>
              <w:rPr>
                <w:rFonts w:ascii="Times New Roman" w:hAnsi="Times New Roman" w:cs="Times New Roman"/>
                <w:sz w:val="20"/>
                <w:szCs w:val="20"/>
              </w:rPr>
            </w:pPr>
          </w:p>
          <w:p w14:paraId="569EA61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Parking for commercial and market units</w:t>
            </w:r>
            <w:r w:rsidRPr="007424E0">
              <w:rPr>
                <w:rFonts w:ascii="Times New Roman" w:hAnsi="Times New Roman" w:cs="Times New Roman"/>
                <w:sz w:val="20"/>
                <w:szCs w:val="20"/>
              </w:rPr>
              <w:t xml:space="preserve">: Regarding the inclusion of development costs for parking intended to serve market units or commercial spaces, these costs should not be included in the development budget. </w:t>
            </w:r>
            <w:r w:rsidRPr="007424E0">
              <w:rPr>
                <w:rFonts w:ascii="Times New Roman" w:hAnsi="Times New Roman" w:cs="Times New Roman"/>
                <w:sz w:val="20"/>
                <w:szCs w:val="20"/>
              </w:rPr>
              <w:br/>
            </w:r>
          </w:p>
          <w:p w14:paraId="1F57CCA7" w14:textId="77777777" w:rsidR="00B24E0A" w:rsidRPr="007424E0" w:rsidRDefault="00B24E0A"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As stated in </w:t>
            </w:r>
            <w:r w:rsidRPr="007424E0">
              <w:rPr>
                <w:rFonts w:ascii="Times New Roman" w:hAnsi="Times New Roman" w:cs="Times New Roman"/>
                <w:b/>
                <w:bCs/>
                <w:sz w:val="20"/>
                <w:szCs w:val="20"/>
              </w:rPr>
              <w:t>(Threshold Criteria) Project Feasibility</w:t>
            </w:r>
            <w:r w:rsidRPr="007424E0">
              <w:rPr>
                <w:rFonts w:ascii="Times New Roman" w:hAnsi="Times New Roman" w:cs="Times New Roman"/>
                <w:sz w:val="20"/>
                <w:szCs w:val="20"/>
              </w:rPr>
              <w:t xml:space="preserve">, the intent of DCA staff’s underwriting review is to ensure that the “housing credit dollar amount allocated to a project not exceed the amount that DCA determines is necessary for the financial feasibility of the project and its viability as a qualified low-income housing project through the credit period.” </w:t>
            </w:r>
            <w:r w:rsidRPr="007424E0">
              <w:rPr>
                <w:rFonts w:ascii="Times New Roman" w:hAnsi="Times New Roman" w:cs="Times New Roman"/>
                <w:sz w:val="20"/>
                <w:szCs w:val="20"/>
              </w:rPr>
              <w:br/>
            </w:r>
          </w:p>
          <w:p w14:paraId="0652F0E6" w14:textId="77777777" w:rsidR="00B24E0A" w:rsidRPr="007424E0" w:rsidRDefault="00B24E0A"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Therefore, except where the QAP states otherwise (e.g., subsection </w:t>
            </w:r>
            <w:r w:rsidRPr="007424E0">
              <w:rPr>
                <w:rFonts w:ascii="Times New Roman" w:hAnsi="Times New Roman" w:cs="Times New Roman"/>
                <w:b/>
                <w:bCs/>
                <w:sz w:val="20"/>
                <w:szCs w:val="20"/>
              </w:rPr>
              <w:t xml:space="preserve">10. Market Units </w:t>
            </w:r>
            <w:r w:rsidRPr="007424E0">
              <w:rPr>
                <w:rFonts w:ascii="Times New Roman" w:hAnsi="Times New Roman" w:cs="Times New Roman"/>
                <w:sz w:val="20"/>
                <w:szCs w:val="20"/>
              </w:rPr>
              <w:t xml:space="preserve">relating to the costs and expenses associated with market units), line items that do not directly support or reflect the development or operations of the low-income housing should not be included in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or </w:t>
            </w:r>
            <w:r w:rsidRPr="007424E0">
              <w:rPr>
                <w:rFonts w:ascii="Times New Roman" w:hAnsi="Times New Roman" w:cs="Times New Roman"/>
                <w:i/>
                <w:iCs/>
                <w:sz w:val="20"/>
                <w:szCs w:val="20"/>
              </w:rPr>
              <w:t>Revenues &amp; Expenses</w:t>
            </w:r>
            <w:r w:rsidRPr="007424E0">
              <w:rPr>
                <w:rFonts w:ascii="Times New Roman" w:hAnsi="Times New Roman" w:cs="Times New Roman"/>
                <w:sz w:val="20"/>
                <w:szCs w:val="20"/>
              </w:rPr>
              <w:t xml:space="preserve"> tabs of the Excel Core Application. </w:t>
            </w:r>
            <w:r w:rsidRPr="007424E0">
              <w:rPr>
                <w:rFonts w:ascii="Times New Roman" w:hAnsi="Times New Roman" w:cs="Times New Roman"/>
                <w:sz w:val="20"/>
                <w:szCs w:val="20"/>
              </w:rPr>
              <w:br/>
            </w:r>
          </w:p>
          <w:p w14:paraId="36F04CF2" w14:textId="77777777" w:rsidR="00B24E0A" w:rsidRPr="007424E0" w:rsidRDefault="00B24E0A" w:rsidP="000F6D48">
            <w:pPr>
              <w:numPr>
                <w:ilvl w:val="0"/>
                <w:numId w:val="49"/>
              </w:numPr>
              <w:contextualSpacing/>
              <w:rPr>
                <w:rFonts w:ascii="Times New Roman" w:hAnsi="Times New Roman" w:cs="Times New Roman"/>
                <w:sz w:val="20"/>
                <w:szCs w:val="20"/>
              </w:rPr>
            </w:pPr>
            <w:r w:rsidRPr="007424E0">
              <w:rPr>
                <w:rFonts w:ascii="Times New Roman" w:hAnsi="Times New Roman" w:cs="Times New Roman"/>
                <w:sz w:val="20"/>
                <w:szCs w:val="20"/>
              </w:rPr>
              <w:t xml:space="preserve">Please provide a description of the portions of the development not included directly in the budget of the application (e.g., in the comments box of the </w:t>
            </w:r>
            <w:r w:rsidRPr="007424E0">
              <w:rPr>
                <w:rFonts w:ascii="Times New Roman" w:hAnsi="Times New Roman" w:cs="Times New Roman"/>
                <w:i/>
                <w:iCs/>
                <w:sz w:val="20"/>
                <w:szCs w:val="20"/>
              </w:rPr>
              <w:t>Uses of Funds</w:t>
            </w:r>
            <w:r w:rsidRPr="007424E0">
              <w:rPr>
                <w:rFonts w:ascii="Times New Roman" w:hAnsi="Times New Roman" w:cs="Times New Roman"/>
                <w:sz w:val="20"/>
                <w:szCs w:val="20"/>
              </w:rPr>
              <w:t xml:space="preserve"> tab). If DCA staff determine that the financial and market feasibility of the low-income housing development is dependent on activities not included in the model (e.g., a commercial space), DCA may request additional information through the clarifications process. </w:t>
            </w:r>
          </w:p>
          <w:p w14:paraId="3BC4ABE4" w14:textId="77777777" w:rsidR="00B24E0A" w:rsidRPr="007424E0" w:rsidRDefault="00B24E0A" w:rsidP="000F6D48">
            <w:pPr>
              <w:rPr>
                <w:rFonts w:ascii="Times New Roman" w:hAnsi="Times New Roman" w:cs="Times New Roman"/>
                <w:sz w:val="20"/>
                <w:szCs w:val="20"/>
              </w:rPr>
            </w:pPr>
          </w:p>
          <w:p w14:paraId="03032AB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Non-required parking</w:t>
            </w:r>
            <w:r w:rsidRPr="007424E0">
              <w:rPr>
                <w:rFonts w:ascii="Times New Roman" w:hAnsi="Times New Roman" w:cs="Times New Roman"/>
                <w:sz w:val="20"/>
                <w:szCs w:val="20"/>
              </w:rPr>
              <w:t>: This question includes the statement that the local government does not require any parking. Please note that even if the local government does not require parking for residential units, DCA will assess whether the proposed level of parking for all restricted and unrestricted residential units is appropriate given market feasibility considerations.</w:t>
            </w:r>
          </w:p>
          <w:p w14:paraId="2B8A5CA3" w14:textId="77777777" w:rsidR="00B24E0A" w:rsidRPr="007424E0" w:rsidRDefault="00B24E0A" w:rsidP="000F6D48">
            <w:pPr>
              <w:rPr>
                <w:rFonts w:ascii="Times New Roman" w:hAnsi="Times New Roman" w:cs="Times New Roman"/>
                <w:sz w:val="20"/>
                <w:szCs w:val="20"/>
              </w:rPr>
            </w:pPr>
          </w:p>
          <w:p w14:paraId="7610AED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u w:val="single"/>
              </w:rPr>
              <w:t>Requirements for allocating land costs</w:t>
            </w:r>
            <w:r w:rsidRPr="007424E0">
              <w:rPr>
                <w:rFonts w:ascii="Times New Roman" w:hAnsi="Times New Roman" w:cs="Times New Roman"/>
                <w:sz w:val="20"/>
                <w:szCs w:val="20"/>
              </w:rPr>
              <w:t xml:space="preserve">: The answer to this question depends on the specifics of the development. Applicants should allocate costs proportionally and describe the methodology for doing so in detail so that DCA underwriters can replicate it. If DCA staff determine upon reviewing the development information that an adjustment to the methodology is required, DCA staff will reach out to the applicant through the clarifications process. </w:t>
            </w:r>
          </w:p>
          <w:p w14:paraId="79111000" w14:textId="77777777" w:rsidR="00B24E0A" w:rsidRPr="007424E0" w:rsidRDefault="00B24E0A" w:rsidP="000F6D48">
            <w:pPr>
              <w:pStyle w:val="ListParagraph"/>
              <w:numPr>
                <w:ilvl w:val="0"/>
                <w:numId w:val="51"/>
              </w:numPr>
              <w:rPr>
                <w:rFonts w:ascii="Times New Roman" w:hAnsi="Times New Roman" w:cs="Times New Roman"/>
                <w:sz w:val="20"/>
                <w:szCs w:val="20"/>
              </w:rPr>
            </w:pPr>
            <w:r w:rsidRPr="007424E0">
              <w:rPr>
                <w:rFonts w:ascii="Times New Roman" w:hAnsi="Times New Roman" w:cs="Times New Roman"/>
                <w:sz w:val="20"/>
                <w:szCs w:val="20"/>
              </w:rPr>
              <w:t xml:space="preserve">Please also note that, per </w:t>
            </w:r>
            <w:r w:rsidRPr="007424E0">
              <w:rPr>
                <w:rFonts w:ascii="Times New Roman" w:hAnsi="Times New Roman" w:cs="Times New Roman"/>
                <w:b/>
                <w:bCs/>
                <w:sz w:val="20"/>
                <w:szCs w:val="20"/>
              </w:rPr>
              <w:t>(Threshold Criteria) Appraisals</w:t>
            </w:r>
            <w:r w:rsidRPr="007424E0">
              <w:rPr>
                <w:rFonts w:ascii="Times New Roman" w:hAnsi="Times New Roman" w:cs="Times New Roman"/>
                <w:sz w:val="20"/>
                <w:szCs w:val="20"/>
              </w:rPr>
              <w:t>, “DCA may also commission an appraisal for a tax credit only project in order to confirm that the proposed purchase price is reasonable and the valuation assumptions within the application are valid.”</w:t>
            </w:r>
          </w:p>
        </w:tc>
      </w:tr>
      <w:tr w:rsidR="00B24E0A" w:rsidRPr="007424E0" w14:paraId="03EB646E" w14:textId="77777777" w:rsidTr="64301FE8">
        <w:trPr>
          <w:jc w:val="center"/>
        </w:trPr>
        <w:tc>
          <w:tcPr>
            <w:tcW w:w="1697" w:type="dxa"/>
            <w:shd w:val="clear" w:color="auto" w:fill="auto"/>
            <w:tcMar>
              <w:top w:w="72" w:type="dxa"/>
              <w:left w:w="115" w:type="dxa"/>
              <w:bottom w:w="72" w:type="dxa"/>
              <w:right w:w="115" w:type="dxa"/>
            </w:tcMar>
            <w:vAlign w:val="center"/>
          </w:tcPr>
          <w:p w14:paraId="72AFFBE5"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45F7A7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2.08</w:t>
            </w:r>
          </w:p>
          <w:p w14:paraId="3DEA5E9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33B3FC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Site Control</w:t>
            </w:r>
          </w:p>
        </w:tc>
        <w:tc>
          <w:tcPr>
            <w:tcW w:w="9585" w:type="dxa"/>
            <w:shd w:val="clear" w:color="auto" w:fill="auto"/>
            <w:tcMar>
              <w:top w:w="72" w:type="dxa"/>
              <w:left w:w="115" w:type="dxa"/>
              <w:bottom w:w="72" w:type="dxa"/>
              <w:right w:w="115" w:type="dxa"/>
            </w:tcMar>
            <w:vAlign w:val="center"/>
          </w:tcPr>
          <w:p w14:paraId="730BE58D" w14:textId="77777777" w:rsidR="00B24E0A" w:rsidRPr="007424E0" w:rsidRDefault="00B24E0A"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2A724E01" w14:textId="77777777" w:rsidR="00B24E0A" w:rsidRPr="007424E0" w:rsidRDefault="00B24E0A" w:rsidP="000F6D48">
            <w:pPr>
              <w:textAlignment w:val="baseline"/>
              <w:rPr>
                <w:rFonts w:ascii="Times New Roman" w:eastAsia="Times New Roman" w:hAnsi="Times New Roman" w:cs="Times New Roman"/>
                <w:b/>
                <w:bCs/>
                <w:sz w:val="20"/>
                <w:szCs w:val="20"/>
              </w:rPr>
            </w:pPr>
          </w:p>
          <w:p w14:paraId="7E2758E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Q22_0517_04 </w:t>
            </w:r>
          </w:p>
          <w:p w14:paraId="468A55E8" w14:textId="77777777" w:rsidR="00B24E0A" w:rsidRPr="007424E0" w:rsidRDefault="00B24E0A" w:rsidP="000F6D48">
            <w:pPr>
              <w:textAlignment w:val="baseline"/>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Our site control is in the form of a legally binding contract.  Do we also need to include a warranty deed from the current property owner, or does having the legally binding contract fulfill the site control requirement?  </w:t>
            </w:r>
          </w:p>
          <w:p w14:paraId="440E83EA" w14:textId="77777777" w:rsidR="00B24E0A" w:rsidRPr="007424E0" w:rsidRDefault="00B24E0A" w:rsidP="000F6D48">
            <w:pPr>
              <w:textAlignment w:val="baseline"/>
              <w:rPr>
                <w:rFonts w:ascii="Times New Roman" w:eastAsia="Times New Roman" w:hAnsi="Times New Roman" w:cs="Times New Roman"/>
                <w:color w:val="000000"/>
                <w:sz w:val="20"/>
                <w:szCs w:val="20"/>
              </w:rPr>
            </w:pPr>
          </w:p>
          <w:p w14:paraId="7BE791A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DCBB83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(May 27, 2022 update) </w:t>
            </w:r>
          </w:p>
          <w:p w14:paraId="0B66FC4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May 24, 2022, DCA responded to this question, stating that a settlement statement or warranty deed from the current property owner is required. DCA then received a follow-up question, stating that the response was incorrect given the QAP language. Internal discussion covered the following: </w:t>
            </w:r>
          </w:p>
          <w:p w14:paraId="08E8479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20E6C7A" w14:textId="77777777" w:rsidR="00B24E0A" w:rsidRPr="007424E0" w:rsidRDefault="00B24E0A"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original response is consistent with both the language and intent of the Minimum Documentation requirements listed under </w:t>
            </w:r>
            <w:r w:rsidRPr="007424E0">
              <w:rPr>
                <w:rFonts w:ascii="Times New Roman" w:eastAsia="Times New Roman" w:hAnsi="Times New Roman" w:cs="Times New Roman"/>
                <w:b/>
                <w:bCs/>
                <w:sz w:val="20"/>
                <w:szCs w:val="20"/>
              </w:rPr>
              <w:t>(Threshold Criteria) Site Control</w:t>
            </w:r>
            <w:r w:rsidRPr="007424E0">
              <w:rPr>
                <w:rFonts w:ascii="Times New Roman" w:eastAsia="Times New Roman" w:hAnsi="Times New Roman" w:cs="Times New Roman"/>
                <w:sz w:val="20"/>
                <w:szCs w:val="20"/>
              </w:rPr>
              <w:t>. </w:t>
            </w:r>
          </w:p>
          <w:p w14:paraId="0E646641" w14:textId="77777777" w:rsidR="00B24E0A" w:rsidRPr="007424E0" w:rsidRDefault="00B24E0A"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However, in the past applicants have misunderstood this requirement. During the 2021 9% Competitive Round, so many applicants misunderstood this requirement that the requirement was not enforced.  </w:t>
            </w:r>
          </w:p>
          <w:p w14:paraId="3CB38E9A" w14:textId="77777777" w:rsidR="00B24E0A" w:rsidRPr="007424E0" w:rsidRDefault="00B24E0A"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language did not change from the 2021 QAP to the 2022 QAP to clarify this provision. </w:t>
            </w:r>
          </w:p>
          <w:p w14:paraId="4F726C42" w14:textId="77777777" w:rsidR="00B24E0A" w:rsidRPr="007424E0" w:rsidRDefault="00B24E0A" w:rsidP="000F6D48">
            <w:pPr>
              <w:pStyle w:val="ListParagraph"/>
              <w:numPr>
                <w:ilvl w:val="0"/>
                <w:numId w:val="51"/>
              </w:num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the many applicants who did not receive a missing documentation notice during the 2021 9% Competitive Round, this is functionally a change in policy that was issued one week before the 2022 9% Competitive Round deadline.  </w:t>
            </w:r>
          </w:p>
          <w:p w14:paraId="73AFF04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FA2890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Therefore, for purposes of the 2022 9% Competitive Round, DCA will not require a settlement statement or warranty deed by default. Please note that the primary purpose of this requirement is to help DCA underwriters assess how the land should be valued given how long the property has “been in the control of the Applicant or a related party” (see </w:t>
            </w:r>
            <w:r w:rsidRPr="007424E0">
              <w:rPr>
                <w:rFonts w:ascii="Times New Roman" w:eastAsia="Times New Roman" w:hAnsi="Times New Roman" w:cs="Times New Roman"/>
                <w:b/>
                <w:bCs/>
                <w:sz w:val="20"/>
                <w:szCs w:val="20"/>
              </w:rPr>
              <w:t>(Threshold Criteria) Appraisals</w:t>
            </w:r>
            <w:r w:rsidRPr="007424E0">
              <w:rPr>
                <w:rFonts w:ascii="Times New Roman" w:eastAsia="Times New Roman" w:hAnsi="Times New Roman" w:cs="Times New Roman"/>
                <w:sz w:val="20"/>
                <w:szCs w:val="20"/>
              </w:rPr>
              <w:t xml:space="preserve"> for more information). DCA reserves the right to request evidence to confirm this through the clarifications process during the 2022 9% Competitive Round.  </w:t>
            </w:r>
          </w:p>
          <w:p w14:paraId="596F76E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4327ACE" w14:textId="77777777" w:rsidR="00B24E0A" w:rsidRPr="007424E0" w:rsidRDefault="00B24E0A" w:rsidP="000F6D48">
            <w:pPr>
              <w:textAlignment w:val="baseline"/>
              <w:rPr>
                <w:rFonts w:ascii="Times New Roman" w:eastAsia="Times New Roman" w:hAnsi="Times New Roman" w:cs="Times New Roman"/>
                <w:i/>
                <w:iCs/>
                <w:sz w:val="20"/>
                <w:szCs w:val="20"/>
              </w:rPr>
            </w:pPr>
          </w:p>
          <w:p w14:paraId="3F9DEB5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Below is the original answer, posted May 24, 2022:</w:t>
            </w:r>
          </w:p>
          <w:p w14:paraId="285AD694" w14:textId="77777777" w:rsidR="00B24E0A" w:rsidRPr="007424E0" w:rsidRDefault="00B24E0A" w:rsidP="000F6D48">
            <w:pPr>
              <w:textAlignment w:val="baseline"/>
              <w:rPr>
                <w:rFonts w:ascii="Times New Roman" w:eastAsia="Times New Roman" w:hAnsi="Times New Roman" w:cs="Times New Roman"/>
                <w:sz w:val="20"/>
                <w:szCs w:val="20"/>
              </w:rPr>
            </w:pPr>
          </w:p>
          <w:p w14:paraId="3FE6C169"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Per </w:t>
            </w:r>
            <w:r w:rsidRPr="007424E0">
              <w:rPr>
                <w:rFonts w:ascii="Times New Roman" w:eastAsia="Times New Roman" w:hAnsi="Times New Roman" w:cs="Times New Roman"/>
                <w:b/>
                <w:bCs/>
                <w:i/>
                <w:iCs/>
                <w:sz w:val="20"/>
                <w:szCs w:val="20"/>
              </w:rPr>
              <w:t xml:space="preserve">(Threshold) Site Control, </w:t>
            </w:r>
            <w:r w:rsidRPr="007424E0">
              <w:rPr>
                <w:rFonts w:ascii="Times New Roman" w:eastAsia="Times New Roman" w:hAnsi="Times New Roman" w:cs="Times New Roman"/>
                <w:i/>
                <w:iCs/>
                <w:sz w:val="20"/>
                <w:szCs w:val="20"/>
              </w:rPr>
              <w:t>in addition to the legally binding contract, a settlement statement or warranty deed from the current property owner must be submitted.   </w:t>
            </w:r>
          </w:p>
          <w:p w14:paraId="1296A43A"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t>
            </w:r>
          </w:p>
          <w:p w14:paraId="3826F8B2"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Minimum Documentation: </w:t>
            </w:r>
          </w:p>
          <w:p w14:paraId="4A1FA446"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Settlement statement or warranty deed from current property owner </w:t>
            </w:r>
          </w:p>
          <w:p w14:paraId="3AEDE294"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Warranty Deed; legally binding Contract; or legally binding, long-term Ground Lease or Option </w:t>
            </w:r>
          </w:p>
          <w:p w14:paraId="531A16BD" w14:textId="77777777" w:rsidR="00B24E0A" w:rsidRPr="007424E0" w:rsidRDefault="00B24E0A" w:rsidP="000F6D48">
            <w:pPr>
              <w:textAlignment w:val="baseline"/>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Legal description </w:t>
            </w:r>
          </w:p>
          <w:p w14:paraId="2AE73BB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sz w:val="20"/>
                <w:szCs w:val="20"/>
              </w:rPr>
              <w:t>• Evidence of RFP selection</w:t>
            </w:r>
            <w:r w:rsidRPr="007424E0">
              <w:rPr>
                <w:rFonts w:ascii="Times New Roman" w:eastAsia="Times New Roman" w:hAnsi="Times New Roman" w:cs="Times New Roman"/>
                <w:sz w:val="20"/>
                <w:szCs w:val="20"/>
              </w:rPr>
              <w:t> </w:t>
            </w:r>
          </w:p>
        </w:tc>
      </w:tr>
      <w:tr w:rsidR="00B24E0A" w:rsidRPr="007424E0" w14:paraId="68D9CA8F" w14:textId="77777777" w:rsidTr="64301FE8">
        <w:trPr>
          <w:jc w:val="center"/>
        </w:trPr>
        <w:tc>
          <w:tcPr>
            <w:tcW w:w="1697" w:type="dxa"/>
            <w:shd w:val="clear" w:color="auto" w:fill="auto"/>
            <w:tcMar>
              <w:top w:w="72" w:type="dxa"/>
              <w:left w:w="115" w:type="dxa"/>
              <w:bottom w:w="72" w:type="dxa"/>
              <w:right w:w="115" w:type="dxa"/>
            </w:tcMar>
            <w:vAlign w:val="center"/>
          </w:tcPr>
          <w:p w14:paraId="78788E39"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43F51EB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2.13</w:t>
            </w:r>
          </w:p>
          <w:p w14:paraId="2DA9003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77A29B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Required Amenities</w:t>
            </w:r>
          </w:p>
        </w:tc>
        <w:tc>
          <w:tcPr>
            <w:tcW w:w="9585" w:type="dxa"/>
            <w:shd w:val="clear" w:color="auto" w:fill="auto"/>
            <w:tcMar>
              <w:top w:w="72" w:type="dxa"/>
              <w:left w:w="115" w:type="dxa"/>
              <w:bottom w:w="72" w:type="dxa"/>
              <w:right w:w="115" w:type="dxa"/>
            </w:tcMar>
            <w:vAlign w:val="center"/>
          </w:tcPr>
          <w:p w14:paraId="349FA60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Q22_0518_04</w:t>
            </w:r>
            <w:r w:rsidRPr="007424E0">
              <w:rPr>
                <w:rStyle w:val="eop"/>
                <w:sz w:val="20"/>
                <w:szCs w:val="20"/>
              </w:rPr>
              <w:t> </w:t>
            </w:r>
          </w:p>
          <w:p w14:paraId="6BB2269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Regarding appliances, please confirm that a 100% Section 8 covered property would be considered a "HUD property," and therefore not be required to add dishwashers.</w:t>
            </w:r>
            <w:r w:rsidRPr="007424E0">
              <w:rPr>
                <w:rStyle w:val="eop"/>
                <w:color w:val="000000"/>
                <w:sz w:val="20"/>
                <w:szCs w:val="20"/>
              </w:rPr>
              <w:t> </w:t>
            </w:r>
          </w:p>
          <w:p w14:paraId="2C80A32A"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5E00506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D1990E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For purposes of this subsection, a property for which 100% of units have PBRA originating from HUD would be considered a “HUD property.” </w:t>
            </w:r>
            <w:r w:rsidRPr="007424E0">
              <w:rPr>
                <w:rStyle w:val="eop"/>
                <w:sz w:val="20"/>
                <w:szCs w:val="20"/>
              </w:rPr>
              <w:t> </w:t>
            </w:r>
          </w:p>
        </w:tc>
      </w:tr>
      <w:tr w:rsidR="00B24E0A" w:rsidRPr="007424E0" w14:paraId="1B914558" w14:textId="77777777" w:rsidTr="64301FE8">
        <w:trPr>
          <w:jc w:val="center"/>
        </w:trPr>
        <w:tc>
          <w:tcPr>
            <w:tcW w:w="1697" w:type="dxa"/>
            <w:shd w:val="clear" w:color="auto" w:fill="auto"/>
            <w:tcMar>
              <w:top w:w="72" w:type="dxa"/>
              <w:left w:w="115" w:type="dxa"/>
              <w:bottom w:w="72" w:type="dxa"/>
              <w:right w:w="115" w:type="dxa"/>
            </w:tcMar>
            <w:vAlign w:val="center"/>
          </w:tcPr>
          <w:p w14:paraId="063CB076"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614A508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7B00CEB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9083E9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C56128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Q22_0519_09</w:t>
            </w:r>
            <w:r w:rsidRPr="007424E0">
              <w:rPr>
                <w:rStyle w:val="eop"/>
                <w:sz w:val="20"/>
                <w:szCs w:val="20"/>
              </w:rPr>
              <w:t> </w:t>
            </w:r>
          </w:p>
          <w:p w14:paraId="0D119F8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We submit our GIN notice at </w:t>
            </w:r>
            <w:proofErr w:type="spellStart"/>
            <w:r w:rsidRPr="007424E0">
              <w:rPr>
                <w:rStyle w:val="spellingerror"/>
                <w:rFonts w:eastAsiaTheme="majorEastAsia"/>
                <w:color w:val="000000"/>
                <w:sz w:val="20"/>
                <w:szCs w:val="20"/>
              </w:rPr>
              <w:t>Preapp</w:t>
            </w:r>
            <w:proofErr w:type="spellEnd"/>
            <w:r w:rsidRPr="007424E0">
              <w:rPr>
                <w:rStyle w:val="normaltextrun"/>
                <w:color w:val="000000"/>
                <w:sz w:val="20"/>
                <w:szCs w:val="20"/>
              </w:rPr>
              <w:t xml:space="preserve"> and got approval by DCA. Since then, the single tenant on a </w:t>
            </w:r>
            <w:r w:rsidRPr="007424E0">
              <w:rPr>
                <w:rStyle w:val="contextualspellingandgrammarerror"/>
                <w:rFonts w:eastAsiaTheme="majorEastAsia"/>
                <w:color w:val="000000"/>
                <w:sz w:val="20"/>
                <w:szCs w:val="20"/>
              </w:rPr>
              <w:t>month to month</w:t>
            </w:r>
            <w:r w:rsidRPr="007424E0">
              <w:rPr>
                <w:rStyle w:val="normaltextrun"/>
                <w:color w:val="000000"/>
                <w:sz w:val="20"/>
                <w:szCs w:val="20"/>
              </w:rPr>
              <w:t xml:space="preserve"> lease has moved off the property. Do we still need to submit to DCA for relocation? We are planning too just want </w:t>
            </w:r>
            <w:r w:rsidRPr="007424E0">
              <w:rPr>
                <w:rStyle w:val="contextualspellingandgrammarerror"/>
                <w:rFonts w:eastAsiaTheme="majorEastAsia"/>
                <w:color w:val="000000"/>
                <w:sz w:val="20"/>
                <w:szCs w:val="20"/>
              </w:rPr>
              <w:t>ask</w:t>
            </w:r>
            <w:r w:rsidRPr="007424E0">
              <w:rPr>
                <w:rStyle w:val="normaltextrun"/>
                <w:color w:val="000000"/>
                <w:sz w:val="20"/>
                <w:szCs w:val="20"/>
              </w:rPr>
              <w:t xml:space="preserve"> before we do.</w:t>
            </w:r>
            <w:r w:rsidRPr="007424E0">
              <w:rPr>
                <w:rStyle w:val="eop"/>
                <w:color w:val="000000"/>
                <w:sz w:val="20"/>
                <w:szCs w:val="20"/>
              </w:rPr>
              <w:t> </w:t>
            </w:r>
          </w:p>
          <w:p w14:paraId="7822F49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00EDF5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xml:space="preserve">: </w:t>
            </w:r>
            <w:r w:rsidRPr="007424E0">
              <w:rPr>
                <w:rStyle w:val="eop"/>
                <w:sz w:val="20"/>
                <w:szCs w:val="20"/>
              </w:rPr>
              <w:t> </w:t>
            </w:r>
          </w:p>
          <w:p w14:paraId="059AB7F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For properties with 100% proposed tax credit funding, relocation submission and supporting documentation (including move out records) to explain the situation is recommended to ensure passage of </w:t>
            </w:r>
            <w:r w:rsidRPr="007424E0">
              <w:rPr>
                <w:rStyle w:val="normaltextrun"/>
                <w:b/>
                <w:bCs/>
                <w:sz w:val="20"/>
                <w:szCs w:val="20"/>
              </w:rPr>
              <w:t xml:space="preserve">(Threshold Criteria) Occupied Developments </w:t>
            </w:r>
            <w:r w:rsidRPr="007424E0">
              <w:rPr>
                <w:rStyle w:val="normaltextrun"/>
                <w:sz w:val="20"/>
                <w:szCs w:val="20"/>
              </w:rPr>
              <w:t>without complication. If the program has Federal Funds on it (</w:t>
            </w:r>
            <w:proofErr w:type="spellStart"/>
            <w:r w:rsidRPr="007424E0">
              <w:rPr>
                <w:rStyle w:val="spellingerror"/>
                <w:rFonts w:eastAsiaTheme="majorEastAsia"/>
                <w:sz w:val="20"/>
                <w:szCs w:val="20"/>
              </w:rPr>
              <w:t>ie</w:t>
            </w:r>
            <w:proofErr w:type="spellEnd"/>
            <w:r w:rsidRPr="007424E0">
              <w:rPr>
                <w:rStyle w:val="normaltextrun"/>
                <w:sz w:val="20"/>
                <w:szCs w:val="20"/>
              </w:rPr>
              <w:t xml:space="preserve">. HOME, PBRA Subsidies, RAD, </w:t>
            </w:r>
            <w:proofErr w:type="spellStart"/>
            <w:r w:rsidRPr="007424E0">
              <w:rPr>
                <w:rStyle w:val="spellingerror"/>
                <w:rFonts w:eastAsiaTheme="majorEastAsia"/>
                <w:sz w:val="20"/>
                <w:szCs w:val="20"/>
              </w:rPr>
              <w:t>etc</w:t>
            </w:r>
            <w:proofErr w:type="spellEnd"/>
            <w:r w:rsidRPr="007424E0">
              <w:rPr>
                <w:rStyle w:val="normaltextrun"/>
                <w:sz w:val="20"/>
                <w:szCs w:val="20"/>
              </w:rPr>
              <w:t>), then a full relocation submission should be submitted to ensure all Uniform Relocation Act (URA) processes were followed.</w:t>
            </w:r>
          </w:p>
        </w:tc>
      </w:tr>
      <w:tr w:rsidR="00B24E0A" w:rsidRPr="007424E0" w14:paraId="056CE022" w14:textId="77777777" w:rsidTr="64301FE8">
        <w:trPr>
          <w:jc w:val="center"/>
        </w:trPr>
        <w:tc>
          <w:tcPr>
            <w:tcW w:w="1697" w:type="dxa"/>
            <w:shd w:val="clear" w:color="auto" w:fill="auto"/>
            <w:tcMar>
              <w:top w:w="72" w:type="dxa"/>
              <w:left w:w="115" w:type="dxa"/>
              <w:bottom w:w="72" w:type="dxa"/>
              <w:right w:w="115" w:type="dxa"/>
            </w:tcMar>
            <w:vAlign w:val="center"/>
          </w:tcPr>
          <w:p w14:paraId="2F1E120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2FA6F80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3385073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171D1E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68F0C8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Q22_0519_01 </w:t>
            </w:r>
          </w:p>
          <w:p w14:paraId="48E0369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On the Desirable Activities Certification form, Undesirable tab, do we include a site that might fit the description of an undesirable, but will be mitigated?  Even though I indicate that there's supporting documentation that it will be mitigated, and therefore, no point deductions made, the spreadsheet still automatically deducts those points?  Should I just leave that site off (to avoid automatic point deduction) and provide an explanation?  Or partially fill it out (by not including distance), so that it doesn't deduct points?  </w:t>
            </w:r>
          </w:p>
          <w:p w14:paraId="5C9B046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204396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71A424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the Undesirable Site Certification, applicants should include and fill out all fields associated with any Undesirable activities/characteristic located within a radius of 0.25 miles of the proposed site. The Undesirable Site Certification will reflect a deduction, but per </w:t>
            </w:r>
            <w:r w:rsidRPr="007424E0">
              <w:rPr>
                <w:rFonts w:ascii="Times New Roman" w:eastAsia="Times New Roman" w:hAnsi="Times New Roman" w:cs="Times New Roman"/>
                <w:b/>
                <w:bCs/>
                <w:sz w:val="20"/>
                <w:szCs w:val="20"/>
              </w:rPr>
              <w:t xml:space="preserve">(Scoring) Desirable/Undesirable Activities, B. Undesirable/Inefficient Site Activities/Characteristics, 2. Exceptions to Undesirable Deductions, </w:t>
            </w:r>
            <w:r w:rsidRPr="007424E0">
              <w:rPr>
                <w:rFonts w:ascii="Times New Roman" w:eastAsia="Times New Roman" w:hAnsi="Times New Roman" w:cs="Times New Roman"/>
                <w:sz w:val="20"/>
                <w:szCs w:val="20"/>
              </w:rPr>
              <w:t>“The point deduction will not apply if the Applicant has knowledge at the time of Application that an undesirable activity/characteristic is temporary and that a change or mitigation will remove it as set forth [in the subsection].” Minimum Documentation for this section includes: “Evidence of mitigation of undesirable activity/characteristic from the third party responsible for the mitigation by the date noted [in subsection B.2. Exceptions to Undesirable Deductions].” Documentation submitted should provide sufficient evidence that the requirements of this subsection have been met. </w:t>
            </w:r>
          </w:p>
        </w:tc>
      </w:tr>
      <w:tr w:rsidR="00B24E0A" w:rsidRPr="007424E0" w14:paraId="51E4156B" w14:textId="77777777" w:rsidTr="64301FE8">
        <w:trPr>
          <w:jc w:val="center"/>
        </w:trPr>
        <w:tc>
          <w:tcPr>
            <w:tcW w:w="1697" w:type="dxa"/>
            <w:shd w:val="clear" w:color="auto" w:fill="auto"/>
            <w:tcMar>
              <w:top w:w="72" w:type="dxa"/>
              <w:left w:w="115" w:type="dxa"/>
              <w:bottom w:w="72" w:type="dxa"/>
              <w:right w:w="115" w:type="dxa"/>
            </w:tcMar>
            <w:vAlign w:val="center"/>
          </w:tcPr>
          <w:p w14:paraId="3CDF1905"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55CFB62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3.15</w:t>
            </w:r>
          </w:p>
          <w:p w14:paraId="1C8BA7C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4B013D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Extended Affordability Commitment</w:t>
            </w:r>
          </w:p>
        </w:tc>
        <w:tc>
          <w:tcPr>
            <w:tcW w:w="9585" w:type="dxa"/>
            <w:shd w:val="clear" w:color="auto" w:fill="auto"/>
            <w:tcMar>
              <w:top w:w="72" w:type="dxa"/>
              <w:left w:w="115" w:type="dxa"/>
              <w:bottom w:w="72" w:type="dxa"/>
              <w:right w:w="115" w:type="dxa"/>
            </w:tcMar>
            <w:vAlign w:val="center"/>
          </w:tcPr>
          <w:p w14:paraId="61F6392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color w:val="000000"/>
                <w:sz w:val="20"/>
                <w:szCs w:val="20"/>
              </w:rPr>
              <w:t>Question</w:t>
            </w:r>
            <w:r w:rsidRPr="007424E0">
              <w:rPr>
                <w:rStyle w:val="normaltextrun"/>
                <w:color w:val="000000"/>
                <w:sz w:val="20"/>
                <w:szCs w:val="20"/>
              </w:rPr>
              <w:t>: Q22_0520_08</w:t>
            </w:r>
            <w:r w:rsidRPr="007424E0">
              <w:rPr>
                <w:rStyle w:val="eop"/>
                <w:color w:val="000000"/>
                <w:sz w:val="20"/>
                <w:szCs w:val="20"/>
              </w:rPr>
              <w:t> </w:t>
            </w:r>
          </w:p>
          <w:p w14:paraId="3DFB9EC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The following two questions received are related: </w:t>
            </w:r>
            <w:r w:rsidRPr="007424E0">
              <w:rPr>
                <w:rStyle w:val="eop"/>
                <w:color w:val="000000"/>
                <w:sz w:val="20"/>
                <w:szCs w:val="20"/>
              </w:rPr>
              <w:t> </w:t>
            </w:r>
          </w:p>
          <w:p w14:paraId="7906292D" w14:textId="77777777" w:rsidR="00B24E0A" w:rsidRPr="007424E0" w:rsidRDefault="00B24E0A" w:rsidP="000F6D48">
            <w:pPr>
              <w:pStyle w:val="paragraph"/>
              <w:spacing w:before="0" w:beforeAutospacing="0" w:after="0" w:afterAutospacing="0"/>
              <w:textAlignment w:val="baseline"/>
              <w:rPr>
                <w:rStyle w:val="normaltextrun"/>
                <w:color w:val="000000"/>
                <w:sz w:val="20"/>
                <w:szCs w:val="20"/>
              </w:rPr>
            </w:pPr>
          </w:p>
          <w:p w14:paraId="7C66A618" w14:textId="77777777" w:rsidR="00B24E0A" w:rsidRPr="007424E0" w:rsidRDefault="00B24E0A"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t xml:space="preserve">With regards to the </w:t>
            </w:r>
            <w:r w:rsidRPr="007424E0">
              <w:rPr>
                <w:rStyle w:val="normaltextrun"/>
                <w:b/>
                <w:bCs/>
                <w:color w:val="000000"/>
                <w:sz w:val="20"/>
                <w:szCs w:val="20"/>
              </w:rPr>
              <w:t>(Scoring) Extended Affordability Commitment</w:t>
            </w:r>
            <w:r w:rsidRPr="007424E0">
              <w:rPr>
                <w:rStyle w:val="normaltextrun"/>
                <w:color w:val="000000"/>
                <w:sz w:val="20"/>
                <w:szCs w:val="20"/>
              </w:rPr>
              <w:t>, the checklist notes that a "copy of the strategy documents meeting the QAP requirements" is required as evidence. What strategy documents does this refer to?</w:t>
            </w:r>
            <w:r w:rsidRPr="007424E0">
              <w:rPr>
                <w:rStyle w:val="eop"/>
                <w:color w:val="000000"/>
                <w:sz w:val="20"/>
                <w:szCs w:val="20"/>
              </w:rPr>
              <w:t> </w:t>
            </w:r>
          </w:p>
          <w:p w14:paraId="08FEE593" w14:textId="77777777" w:rsidR="00B24E0A" w:rsidRPr="007424E0" w:rsidRDefault="00B24E0A" w:rsidP="000F6D48">
            <w:pPr>
              <w:pStyle w:val="paragraph"/>
              <w:spacing w:before="0" w:beforeAutospacing="0" w:after="0" w:afterAutospacing="0"/>
              <w:ind w:firstLine="51"/>
              <w:textAlignment w:val="baseline"/>
              <w:rPr>
                <w:sz w:val="20"/>
                <w:szCs w:val="20"/>
              </w:rPr>
            </w:pPr>
          </w:p>
          <w:p w14:paraId="35B9FFCF" w14:textId="77777777" w:rsidR="00B24E0A" w:rsidRPr="007424E0" w:rsidRDefault="00B24E0A" w:rsidP="000F6D48">
            <w:pPr>
              <w:pStyle w:val="paragraph"/>
              <w:numPr>
                <w:ilvl w:val="0"/>
                <w:numId w:val="52"/>
              </w:numPr>
              <w:spacing w:before="0" w:beforeAutospacing="0" w:after="0" w:afterAutospacing="0"/>
              <w:textAlignment w:val="baseline"/>
              <w:rPr>
                <w:sz w:val="20"/>
                <w:szCs w:val="20"/>
              </w:rPr>
            </w:pPr>
            <w:r w:rsidRPr="007424E0">
              <w:rPr>
                <w:rStyle w:val="normaltextrun"/>
                <w:color w:val="000000"/>
                <w:sz w:val="20"/>
                <w:szCs w:val="20"/>
              </w:rPr>
              <w:t xml:space="preserve">Under the </w:t>
            </w:r>
            <w:r w:rsidRPr="007424E0">
              <w:rPr>
                <w:rStyle w:val="normaltextrun"/>
                <w:b/>
                <w:bCs/>
                <w:color w:val="000000"/>
                <w:sz w:val="20"/>
                <w:szCs w:val="20"/>
              </w:rPr>
              <w:t>(Scoring) Extended Affordability Commitment, B. Resident Ownership</w:t>
            </w:r>
            <w:r w:rsidRPr="007424E0">
              <w:rPr>
                <w:rStyle w:val="normaltextrun"/>
                <w:color w:val="000000"/>
                <w:sz w:val="20"/>
                <w:szCs w:val="20"/>
              </w:rPr>
              <w:t xml:space="preserve"> the minimum documentation says "Documents meeting the above requirements." Is there any specific format that DCA wants to see this in? Does it need to be executed? Are you just looking for a document that states the applicant is willing to do these items?</w:t>
            </w:r>
            <w:r w:rsidRPr="007424E0">
              <w:rPr>
                <w:rStyle w:val="eop"/>
                <w:color w:val="000000"/>
                <w:sz w:val="20"/>
                <w:szCs w:val="20"/>
              </w:rPr>
              <w:t> </w:t>
            </w:r>
          </w:p>
          <w:p w14:paraId="3B97860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3EFCE47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6D4F4E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This item listed on the Tabs Checklist refers to the Minimum Documentation listed under B. Resident Ownership: “Documents meeting the above requirements.”</w:t>
            </w:r>
            <w:r w:rsidRPr="007424E0">
              <w:rPr>
                <w:rStyle w:val="eop"/>
                <w:color w:val="000000"/>
                <w:sz w:val="20"/>
                <w:szCs w:val="20"/>
              </w:rPr>
              <w:t> </w:t>
            </w:r>
            <w:r w:rsidRPr="007424E0">
              <w:rPr>
                <w:rStyle w:val="eop"/>
                <w:color w:val="000000"/>
                <w:sz w:val="20"/>
                <w:szCs w:val="20"/>
              </w:rPr>
              <w:br/>
            </w:r>
          </w:p>
          <w:p w14:paraId="32C5308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DCA does not have a required format for this minimum documentation. The submitted documentation does not need to be executed.</w:t>
            </w:r>
          </w:p>
        </w:tc>
      </w:tr>
      <w:tr w:rsidR="00B24E0A" w:rsidRPr="007424E0" w14:paraId="0739CE26" w14:textId="77777777" w:rsidTr="64301FE8">
        <w:trPr>
          <w:jc w:val="center"/>
        </w:trPr>
        <w:tc>
          <w:tcPr>
            <w:tcW w:w="1697" w:type="dxa"/>
            <w:shd w:val="clear" w:color="auto" w:fill="auto"/>
            <w:tcMar>
              <w:top w:w="72" w:type="dxa"/>
              <w:left w:w="115" w:type="dxa"/>
              <w:bottom w:w="72" w:type="dxa"/>
              <w:right w:w="115" w:type="dxa"/>
            </w:tcMar>
            <w:vAlign w:val="center"/>
          </w:tcPr>
          <w:p w14:paraId="36168A4E"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19C4A36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27BDBB2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4C1900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0BE18C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Q22_0519_08</w:t>
            </w:r>
            <w:r w:rsidRPr="007424E0">
              <w:rPr>
                <w:rStyle w:val="eop"/>
                <w:sz w:val="20"/>
                <w:szCs w:val="20"/>
              </w:rPr>
              <w:t> </w:t>
            </w:r>
          </w:p>
          <w:p w14:paraId="17C88C4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We are working with a minority business developer to build capacity and remove barriers in line with the objectives of the DCA Minority- and Women-Owned Business Engagement Policy.  The minority business partner applied for MBE/DBE certification; however, the process takes up to 90 days for approval.  Would you temporarily accept an application confirmation in lieu of the certification?  We will submit the actual certification as soon as it is received.  Thank you.  </w:t>
            </w:r>
            <w:r w:rsidRPr="007424E0">
              <w:rPr>
                <w:rStyle w:val="eop"/>
                <w:color w:val="000000"/>
                <w:sz w:val="20"/>
                <w:szCs w:val="20"/>
              </w:rPr>
              <w:t> </w:t>
            </w:r>
          </w:p>
          <w:p w14:paraId="03B9D29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AD1A21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743643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For option </w:t>
            </w:r>
            <w:r w:rsidRPr="007424E0">
              <w:rPr>
                <w:rStyle w:val="normaltextrun"/>
                <w:b/>
                <w:bCs/>
                <w:sz w:val="20"/>
                <w:szCs w:val="20"/>
              </w:rPr>
              <w:t>B. Project Team Eligibility</w:t>
            </w:r>
            <w:r w:rsidRPr="007424E0">
              <w:rPr>
                <w:rStyle w:val="normaltextrun"/>
                <w:sz w:val="20"/>
                <w:szCs w:val="20"/>
              </w:rPr>
              <w:t xml:space="preserve">, “Certifications from eligible programs for development team members” is a Minimum Documentation requirement. Therefore, the certification is required for purposes of 2022 Competitive Round application review. Per the </w:t>
            </w:r>
            <w:r w:rsidRPr="007424E0">
              <w:rPr>
                <w:rStyle w:val="normaltextrun"/>
                <w:i/>
                <w:iCs/>
                <w:sz w:val="20"/>
                <w:szCs w:val="20"/>
              </w:rPr>
              <w:t xml:space="preserve">2022 Minority- and Women-Owned Business Engagement Policy </w:t>
            </w:r>
            <w:r w:rsidRPr="007424E0">
              <w:rPr>
                <w:rStyle w:val="normaltextrun"/>
                <w:sz w:val="20"/>
                <w:szCs w:val="20"/>
              </w:rPr>
              <w:t>(</w:t>
            </w:r>
            <w:hyperlink r:id="rId34" w:tgtFrame="_blank" w:history="1">
              <w:r w:rsidRPr="007424E0">
                <w:rPr>
                  <w:rStyle w:val="normaltextrun"/>
                  <w:color w:val="0563C1"/>
                  <w:sz w:val="20"/>
                  <w:szCs w:val="20"/>
                  <w:u w:val="single"/>
                </w:rPr>
                <w:t>click here</w:t>
              </w:r>
            </w:hyperlink>
            <w:r w:rsidRPr="007424E0">
              <w:rPr>
                <w:rStyle w:val="normaltextrun"/>
                <w:sz w:val="20"/>
                <w:szCs w:val="20"/>
              </w:rPr>
              <w:t>):</w:t>
            </w:r>
            <w:r w:rsidRPr="007424E0">
              <w:rPr>
                <w:rStyle w:val="eop"/>
                <w:sz w:val="20"/>
                <w:szCs w:val="20"/>
              </w:rPr>
              <w:t> </w:t>
            </w:r>
          </w:p>
          <w:p w14:paraId="5F697C9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CDDC226"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“A. For purposes of receiving a maximum of (2) points in the Engagement Commitment and Reporting section: All Minority and Women-Owned Businesses included on the report must be certified by Final Allocation Application submission. </w:t>
            </w:r>
            <w:r w:rsidRPr="007424E0">
              <w:rPr>
                <w:rStyle w:val="eop"/>
                <w:sz w:val="20"/>
                <w:szCs w:val="20"/>
              </w:rPr>
              <w:t> </w:t>
            </w:r>
          </w:p>
          <w:p w14:paraId="126E15C2"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244560F6"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B. For purposes of receiving a maximum of (2) points in the Project Team Eligibility section: All Minority and Women-Owned Businesses being confirmed as a part of the Project Team should be certified as of the date of the initial application submission.”</w:t>
            </w:r>
            <w:r w:rsidRPr="007424E0">
              <w:rPr>
                <w:rStyle w:val="eop"/>
                <w:sz w:val="20"/>
                <w:szCs w:val="20"/>
              </w:rPr>
              <w:t> </w:t>
            </w:r>
          </w:p>
          <w:p w14:paraId="14A57AA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B5F6F3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Minority- and Women-Owned Businesses included in the application for purposes of claiming points under </w:t>
            </w:r>
            <w:r w:rsidRPr="007424E0">
              <w:rPr>
                <w:rStyle w:val="normaltextrun"/>
                <w:b/>
                <w:bCs/>
                <w:sz w:val="20"/>
                <w:szCs w:val="20"/>
              </w:rPr>
              <w:t>(Scoring) Minority- and Women-Owned Businesses</w:t>
            </w:r>
            <w:r w:rsidRPr="007424E0">
              <w:rPr>
                <w:rStyle w:val="normaltextrun"/>
                <w:sz w:val="20"/>
                <w:szCs w:val="20"/>
              </w:rPr>
              <w:t xml:space="preserve"> must be certified as of the date indicated in the subsection under which the applicant is claiming points.</w:t>
            </w:r>
          </w:p>
        </w:tc>
      </w:tr>
      <w:tr w:rsidR="00B24E0A" w:rsidRPr="007424E0" w14:paraId="595068B3" w14:textId="77777777" w:rsidTr="64301FE8">
        <w:trPr>
          <w:jc w:val="center"/>
        </w:trPr>
        <w:tc>
          <w:tcPr>
            <w:tcW w:w="1697" w:type="dxa"/>
            <w:shd w:val="clear" w:color="auto" w:fill="auto"/>
            <w:tcMar>
              <w:top w:w="72" w:type="dxa"/>
              <w:left w:w="115" w:type="dxa"/>
              <w:bottom w:w="72" w:type="dxa"/>
              <w:right w:w="115" w:type="dxa"/>
            </w:tcMar>
            <w:vAlign w:val="center"/>
          </w:tcPr>
          <w:p w14:paraId="4FA63A61"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5/27/22</w:t>
            </w:r>
          </w:p>
        </w:tc>
        <w:tc>
          <w:tcPr>
            <w:tcW w:w="2663" w:type="dxa"/>
            <w:shd w:val="clear" w:color="auto" w:fill="auto"/>
            <w:tcMar>
              <w:top w:w="72" w:type="dxa"/>
              <w:left w:w="115" w:type="dxa"/>
              <w:bottom w:w="72" w:type="dxa"/>
              <w:right w:w="115" w:type="dxa"/>
            </w:tcMar>
            <w:vAlign w:val="center"/>
          </w:tcPr>
          <w:p w14:paraId="371A8C6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108849B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780E19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065A940E"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Q22_0517_02</w:t>
            </w:r>
          </w:p>
          <w:p w14:paraId="5BEE93C8" w14:textId="77777777" w:rsidR="00B24E0A" w:rsidRPr="007424E0" w:rsidRDefault="00B24E0A" w:rsidP="000F6D48">
            <w:pPr>
              <w:rPr>
                <w:rFonts w:ascii="Times New Roman" w:eastAsia="Times New Roman"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We are working on a project for which the local government is providing funds to the local housing authority for all of the costs for the project site acquisition and demolition of the existing building on the project site, and the housing authority will then ground lease the property to the LIHTC partnership at a nominal cost. The housing authority is also a member of the general partner of the LIHTC partnership. </w:t>
            </w:r>
          </w:p>
          <w:p w14:paraId="6AA8506C" w14:textId="77777777" w:rsidR="00B24E0A" w:rsidRPr="007424E0" w:rsidRDefault="00B24E0A" w:rsidP="000F6D48">
            <w:pPr>
              <w:pStyle w:val="ListParagraph"/>
              <w:numPr>
                <w:ilvl w:val="0"/>
                <w:numId w:val="47"/>
              </w:numPr>
              <w:rPr>
                <w:rFonts w:ascii="Times New Roman" w:eastAsiaTheme="minorEastAsia" w:hAnsi="Times New Roman" w:cs="Times New Roman"/>
                <w:color w:val="000000" w:themeColor="text1"/>
                <w:sz w:val="20"/>
                <w:szCs w:val="20"/>
              </w:rPr>
            </w:pPr>
            <w:r w:rsidRPr="007424E0">
              <w:rPr>
                <w:rFonts w:ascii="Times New Roman" w:eastAsia="Times New Roman" w:hAnsi="Times New Roman" w:cs="Times New Roman"/>
                <w:color w:val="000000" w:themeColor="text1"/>
                <w:sz w:val="20"/>
                <w:szCs w:val="20"/>
              </w:rPr>
              <w:t xml:space="preserve">Since the LIHTC partnership will not be paying costs for acquisition and demolition, can you please confirm that these acquisition and demolition costs and the associated sources (funds from the local government) should or should not appear on the Sources and Uses tabs in the Core Application? </w:t>
            </w:r>
          </w:p>
          <w:p w14:paraId="5622273C" w14:textId="77777777" w:rsidR="00B24E0A" w:rsidRPr="007424E0" w:rsidRDefault="00B24E0A" w:rsidP="000F6D48">
            <w:pPr>
              <w:pStyle w:val="ListParagraph"/>
              <w:numPr>
                <w:ilvl w:val="0"/>
                <w:numId w:val="47"/>
              </w:numPr>
              <w:rPr>
                <w:rFonts w:ascii="Times New Roman" w:hAnsi="Times New Roman" w:cs="Times New Roman"/>
                <w:color w:val="000000"/>
                <w:sz w:val="20"/>
                <w:szCs w:val="20"/>
              </w:rPr>
            </w:pPr>
            <w:r w:rsidRPr="007424E0">
              <w:rPr>
                <w:rFonts w:ascii="Times New Roman" w:eastAsia="Times New Roman" w:hAnsi="Times New Roman" w:cs="Times New Roman"/>
                <w:color w:val="000000" w:themeColor="text1"/>
                <w:sz w:val="20"/>
                <w:szCs w:val="20"/>
              </w:rPr>
              <w:t>If not, is there somewhere else in the Application that we should describe the local government funds (source) and the acquisition and demolition costs (uses) for the site? We will be claiming these local government funds for points under the Favorable Financing section of the QAP.</w:t>
            </w:r>
          </w:p>
          <w:p w14:paraId="77480721" w14:textId="77777777" w:rsidR="00B24E0A" w:rsidRPr="007424E0" w:rsidRDefault="00B24E0A" w:rsidP="000F6D48">
            <w:pPr>
              <w:contextualSpacing/>
              <w:rPr>
                <w:rFonts w:ascii="Times New Roman" w:hAnsi="Times New Roman" w:cs="Times New Roman"/>
                <w:sz w:val="20"/>
                <w:szCs w:val="20"/>
              </w:rPr>
            </w:pPr>
          </w:p>
          <w:p w14:paraId="21467121"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66EC772" w14:textId="77777777" w:rsidR="00B24E0A" w:rsidRPr="007424E0" w:rsidRDefault="00B24E0A" w:rsidP="000F6D48">
            <w:pPr>
              <w:pStyle w:val="ListParagraph"/>
              <w:numPr>
                <w:ilvl w:val="0"/>
                <w:numId w:val="46"/>
              </w:numPr>
              <w:rPr>
                <w:rFonts w:ascii="Times New Roman" w:eastAsiaTheme="minorEastAsia" w:hAnsi="Times New Roman" w:cs="Times New Roman"/>
                <w:sz w:val="20"/>
                <w:szCs w:val="20"/>
              </w:rPr>
            </w:pPr>
            <w:r w:rsidRPr="007424E0">
              <w:rPr>
                <w:rFonts w:ascii="Times New Roman" w:hAnsi="Times New Roman" w:cs="Times New Roman"/>
                <w:sz w:val="20"/>
                <w:szCs w:val="20"/>
              </w:rPr>
              <w:t xml:space="preserve">The nominal cost of the ground lease should be reflected in Part V – Revenues &amp; Expenses Tab (VI. Ground Lease Payment) of the application. </w:t>
            </w:r>
          </w:p>
          <w:p w14:paraId="02E62CB2" w14:textId="77777777" w:rsidR="00B24E0A" w:rsidRPr="007424E0" w:rsidRDefault="00B24E0A"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Only costs paid by the LIHTC partnership should be reflected in the </w:t>
            </w:r>
            <w:r w:rsidRPr="007424E0">
              <w:rPr>
                <w:rFonts w:ascii="Times New Roman" w:hAnsi="Times New Roman" w:cs="Times New Roman"/>
                <w:i/>
                <w:iCs/>
                <w:sz w:val="20"/>
                <w:szCs w:val="20"/>
              </w:rPr>
              <w:t xml:space="preserve">Uses of Funds </w:t>
            </w:r>
            <w:r w:rsidRPr="007424E0">
              <w:rPr>
                <w:rFonts w:ascii="Times New Roman" w:hAnsi="Times New Roman" w:cs="Times New Roman"/>
                <w:sz w:val="20"/>
                <w:szCs w:val="20"/>
              </w:rPr>
              <w:t xml:space="preserve">tab of the application.  </w:t>
            </w:r>
          </w:p>
          <w:p w14:paraId="534D58B1" w14:textId="77777777" w:rsidR="00B24E0A" w:rsidRPr="007424E0" w:rsidRDefault="00B24E0A" w:rsidP="000F6D48">
            <w:pPr>
              <w:pStyle w:val="ListParagraph"/>
              <w:numPr>
                <w:ilvl w:val="0"/>
                <w:numId w:val="46"/>
              </w:numPr>
              <w:rPr>
                <w:rFonts w:ascii="Times New Roman" w:hAnsi="Times New Roman" w:cs="Times New Roman"/>
                <w:sz w:val="20"/>
                <w:szCs w:val="20"/>
              </w:rPr>
            </w:pPr>
            <w:r w:rsidRPr="007424E0">
              <w:rPr>
                <w:rFonts w:ascii="Times New Roman" w:hAnsi="Times New Roman" w:cs="Times New Roman"/>
                <w:sz w:val="20"/>
                <w:szCs w:val="20"/>
              </w:rPr>
              <w:t xml:space="preserve">All necessary information can be provided in the Favorable Financing section of the Excel Core Application (comments section) and application binder (for documentation).  </w:t>
            </w:r>
          </w:p>
        </w:tc>
      </w:tr>
      <w:tr w:rsidR="00B24E0A" w:rsidRPr="007424E0" w14:paraId="08FA1966" w14:textId="77777777" w:rsidTr="64301FE8">
        <w:trPr>
          <w:jc w:val="center"/>
        </w:trPr>
        <w:tc>
          <w:tcPr>
            <w:tcW w:w="1697" w:type="dxa"/>
            <w:shd w:val="clear" w:color="auto" w:fill="auto"/>
            <w:tcMar>
              <w:top w:w="72" w:type="dxa"/>
              <w:left w:w="115" w:type="dxa"/>
              <w:bottom w:w="72" w:type="dxa"/>
              <w:right w:w="115" w:type="dxa"/>
            </w:tcMar>
            <w:vAlign w:val="center"/>
          </w:tcPr>
          <w:p w14:paraId="7CCD892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7414374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46994DA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0243BAD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Appraisals</w:t>
            </w:r>
          </w:p>
          <w:p w14:paraId="7B6350B2" w14:textId="77777777" w:rsidR="00B24E0A" w:rsidRPr="007424E0" w:rsidRDefault="00B24E0A" w:rsidP="000F6D48">
            <w:pPr>
              <w:rPr>
                <w:rFonts w:ascii="Times New Roman" w:hAnsi="Times New Roman" w:cs="Times New Roman"/>
                <w:sz w:val="20"/>
                <w:szCs w:val="20"/>
              </w:rPr>
            </w:pPr>
          </w:p>
          <w:p w14:paraId="2C1BBC45" w14:textId="77777777" w:rsidR="00B24E0A" w:rsidRPr="007424E0" w:rsidRDefault="00B24E0A" w:rsidP="000F6D48">
            <w:pPr>
              <w:rPr>
                <w:rFonts w:ascii="Times New Roman" w:hAnsi="Times New Roman" w:cs="Times New Roman"/>
                <w:sz w:val="20"/>
                <w:szCs w:val="20"/>
              </w:rPr>
            </w:pPr>
          </w:p>
          <w:p w14:paraId="3F127A5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2.28 Threshold; DCA Underwriting Policies)</w:t>
            </w:r>
          </w:p>
        </w:tc>
        <w:tc>
          <w:tcPr>
            <w:tcW w:w="9585" w:type="dxa"/>
            <w:shd w:val="clear" w:color="auto" w:fill="auto"/>
            <w:tcMar>
              <w:top w:w="72" w:type="dxa"/>
              <w:left w:w="115" w:type="dxa"/>
              <w:bottom w:w="72" w:type="dxa"/>
              <w:right w:w="115" w:type="dxa"/>
            </w:tcMar>
            <w:vAlign w:val="center"/>
          </w:tcPr>
          <w:p w14:paraId="42ECE65A" w14:textId="77777777" w:rsidR="00B24E0A" w:rsidRPr="007424E0" w:rsidRDefault="00B24E0A"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54DD6C0" w14:textId="77777777" w:rsidR="00B24E0A" w:rsidRPr="007424E0" w:rsidRDefault="00B24E0A" w:rsidP="000F6D48">
            <w:pPr>
              <w:pStyle w:val="paragraph"/>
              <w:spacing w:before="0" w:beforeAutospacing="0" w:after="0" w:afterAutospacing="0"/>
              <w:textAlignment w:val="baseline"/>
              <w:rPr>
                <w:rStyle w:val="normaltextrun"/>
                <w:b/>
                <w:bCs/>
                <w:sz w:val="20"/>
                <w:szCs w:val="20"/>
              </w:rPr>
            </w:pPr>
          </w:p>
          <w:p w14:paraId="6634453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Q22_0516_01</w:t>
            </w:r>
            <w:r w:rsidRPr="007424E0">
              <w:rPr>
                <w:rStyle w:val="eop"/>
                <w:sz w:val="20"/>
                <w:szCs w:val="20"/>
              </w:rPr>
              <w:t> </w:t>
            </w:r>
          </w:p>
          <w:p w14:paraId="7E51058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In the Threshold part of the QAP, in Section VI. Appraisals it states that properties controlled by a related party for a period of five (5) years or less will be valued at the acquisition cost at the time the related party obtained initial site control.  Under the DCA Underwriting Policies section of the QAP it states that Properties which have been in the control of the Applicant or a related party for a period of three (3) years or less from Application Submission will be valued at the cost at the time the related party obtained initial site control. </w:t>
            </w:r>
            <w:r w:rsidRPr="007424E0">
              <w:rPr>
                <w:rStyle w:val="eop"/>
                <w:color w:val="000000"/>
                <w:sz w:val="20"/>
                <w:szCs w:val="20"/>
              </w:rPr>
              <w:t> </w:t>
            </w:r>
          </w:p>
          <w:p w14:paraId="054F14F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45E435A6" w14:textId="77777777" w:rsidR="00B24E0A" w:rsidRPr="007424E0" w:rsidRDefault="00B24E0A" w:rsidP="000F6D48">
            <w:pPr>
              <w:pStyle w:val="paragraph"/>
              <w:numPr>
                <w:ilvl w:val="0"/>
                <w:numId w:val="41"/>
              </w:numPr>
              <w:spacing w:before="0" w:beforeAutospacing="0" w:after="0" w:afterAutospacing="0"/>
              <w:ind w:left="1080" w:firstLine="0"/>
              <w:textAlignment w:val="baseline"/>
              <w:rPr>
                <w:sz w:val="20"/>
                <w:szCs w:val="20"/>
              </w:rPr>
            </w:pPr>
            <w:r w:rsidRPr="007424E0">
              <w:rPr>
                <w:rStyle w:val="normaltextrun"/>
                <w:color w:val="000000"/>
                <w:sz w:val="20"/>
                <w:szCs w:val="20"/>
              </w:rPr>
              <w:t>Can DCA confirm which time period applies to applications for 9% credits only? </w:t>
            </w:r>
            <w:r w:rsidRPr="007424E0">
              <w:rPr>
                <w:rStyle w:val="eop"/>
                <w:color w:val="000000"/>
                <w:sz w:val="20"/>
                <w:szCs w:val="20"/>
              </w:rPr>
              <w:t> </w:t>
            </w:r>
          </w:p>
          <w:p w14:paraId="5EEB0D0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color w:val="000000"/>
                <w:sz w:val="20"/>
                <w:szCs w:val="20"/>
              </w:rPr>
              <w:t> </w:t>
            </w:r>
          </w:p>
          <w:p w14:paraId="7A608D33" w14:textId="77777777" w:rsidR="00B24E0A" w:rsidRPr="007424E0" w:rsidRDefault="00B24E0A" w:rsidP="000F6D48">
            <w:pPr>
              <w:pStyle w:val="paragraph"/>
              <w:numPr>
                <w:ilvl w:val="0"/>
                <w:numId w:val="42"/>
              </w:numPr>
              <w:spacing w:before="0" w:beforeAutospacing="0" w:after="0" w:afterAutospacing="0"/>
              <w:ind w:left="1080" w:firstLine="0"/>
              <w:textAlignment w:val="baseline"/>
              <w:rPr>
                <w:sz w:val="20"/>
                <w:szCs w:val="20"/>
              </w:rPr>
            </w:pPr>
            <w:r w:rsidRPr="007424E0">
              <w:rPr>
                <w:rStyle w:val="normaltextrun"/>
                <w:color w:val="000000"/>
                <w:sz w:val="20"/>
                <w:szCs w:val="20"/>
              </w:rPr>
              <w:t>Can DCA also confirm that in the case of a phased development where the Applicant obtained site control for all the phases simultaneously and within the appropriate time frame (3 or 5 years, per the answer to the first question) the Applicant does not require an appraisal if it is simply allocating the current phase's share of the acquisition costs paid to the third party?</w:t>
            </w:r>
            <w:r w:rsidRPr="007424E0">
              <w:rPr>
                <w:rStyle w:val="eop"/>
                <w:color w:val="000000"/>
                <w:sz w:val="20"/>
                <w:szCs w:val="20"/>
              </w:rPr>
              <w:t> </w:t>
            </w:r>
          </w:p>
          <w:p w14:paraId="6515E9C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4B6EBC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48804C18" w14:textId="77777777" w:rsidR="00B24E0A" w:rsidRPr="007424E0" w:rsidRDefault="00B24E0A" w:rsidP="000F6D48">
            <w:pPr>
              <w:pStyle w:val="paragraph"/>
              <w:numPr>
                <w:ilvl w:val="0"/>
                <w:numId w:val="43"/>
              </w:numPr>
              <w:spacing w:before="0" w:beforeAutospacing="0" w:after="0" w:afterAutospacing="0"/>
              <w:ind w:left="1080" w:firstLine="0"/>
              <w:textAlignment w:val="baseline"/>
              <w:rPr>
                <w:sz w:val="20"/>
                <w:szCs w:val="20"/>
              </w:rPr>
            </w:pPr>
            <w:r w:rsidRPr="007424E0">
              <w:rPr>
                <w:rStyle w:val="normaltextrun"/>
                <w:sz w:val="20"/>
                <w:szCs w:val="20"/>
              </w:rPr>
              <w:t xml:space="preserve">When there is an identity interest between the buyer and seller, DCA will </w:t>
            </w:r>
            <w:r w:rsidRPr="007424E0">
              <w:rPr>
                <w:rStyle w:val="advancedproofingissue"/>
                <w:rFonts w:eastAsiaTheme="majorEastAsia"/>
                <w:sz w:val="20"/>
                <w:szCs w:val="20"/>
              </w:rPr>
              <w:t>carefully scrutinize</w:t>
            </w:r>
            <w:r w:rsidRPr="007424E0">
              <w:rPr>
                <w:rStyle w:val="normaltextrun"/>
                <w:sz w:val="20"/>
                <w:szCs w:val="20"/>
              </w:rPr>
              <w:t xml:space="preserve"> the sales price of land between related parties to ensure that the value has not been inflated.  The provision in </w:t>
            </w:r>
            <w:r w:rsidRPr="007424E0">
              <w:rPr>
                <w:rStyle w:val="normaltextrun"/>
                <w:b/>
                <w:bCs/>
                <w:sz w:val="20"/>
                <w:szCs w:val="20"/>
              </w:rPr>
              <w:t xml:space="preserve">(Threshold) Appraisals, Applicant-Commissioned Appraisals </w:t>
            </w:r>
            <w:r w:rsidRPr="007424E0">
              <w:rPr>
                <w:rStyle w:val="normaltextrun"/>
                <w:sz w:val="20"/>
                <w:szCs w:val="20"/>
              </w:rPr>
              <w:t>applies:</w:t>
            </w:r>
            <w:r w:rsidRPr="007424E0">
              <w:rPr>
                <w:rStyle w:val="normaltextrun"/>
                <w:b/>
                <w:bCs/>
                <w:sz w:val="20"/>
                <w:szCs w:val="20"/>
              </w:rPr>
              <w:t> </w:t>
            </w:r>
            <w:r w:rsidRPr="007424E0">
              <w:rPr>
                <w:rStyle w:val="eop"/>
                <w:sz w:val="20"/>
                <w:szCs w:val="20"/>
              </w:rPr>
              <w:t> </w:t>
            </w:r>
          </w:p>
          <w:p w14:paraId="7CF418E5" w14:textId="77777777" w:rsidR="00B24E0A" w:rsidRPr="007424E0" w:rsidRDefault="00B24E0A"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3B6C03C6" w14:textId="77777777" w:rsidR="00B24E0A" w:rsidRPr="007424E0" w:rsidRDefault="00B24E0A" w:rsidP="000F6D48">
            <w:pPr>
              <w:pStyle w:val="paragraph"/>
              <w:spacing w:before="0" w:beforeAutospacing="0" w:after="0" w:afterAutospacing="0"/>
              <w:ind w:left="1440"/>
              <w:textAlignment w:val="baseline"/>
              <w:rPr>
                <w:sz w:val="20"/>
                <w:szCs w:val="20"/>
              </w:rPr>
            </w:pPr>
            <w:r w:rsidRPr="007424E0">
              <w:rPr>
                <w:rStyle w:val="normaltextrun"/>
                <w:i/>
                <w:iCs/>
                <w:sz w:val="20"/>
                <w:szCs w:val="20"/>
              </w:rPr>
              <w:t>“For purposes of generating tax credits:</w:t>
            </w:r>
            <w:r w:rsidRPr="007424E0">
              <w:rPr>
                <w:rStyle w:val="eop"/>
                <w:sz w:val="20"/>
                <w:szCs w:val="20"/>
              </w:rPr>
              <w:t> </w:t>
            </w:r>
          </w:p>
          <w:p w14:paraId="39D9A310" w14:textId="77777777" w:rsidR="00B24E0A" w:rsidRPr="007424E0" w:rsidRDefault="00B24E0A"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9% Credit Applicants, properties which have been in the control of the Applicant or a related party for a period of five (5) years or less will be valued at the acquisition cost at the time the related party obtained initial site control.”</w:t>
            </w:r>
            <w:r w:rsidRPr="007424E0">
              <w:rPr>
                <w:rStyle w:val="eop"/>
                <w:sz w:val="20"/>
                <w:szCs w:val="20"/>
              </w:rPr>
              <w:t> </w:t>
            </w:r>
          </w:p>
          <w:p w14:paraId="6D51785F" w14:textId="77777777" w:rsidR="00B24E0A" w:rsidRPr="007424E0" w:rsidRDefault="00B24E0A" w:rsidP="000F6D48">
            <w:pPr>
              <w:pStyle w:val="paragraph"/>
              <w:numPr>
                <w:ilvl w:val="0"/>
                <w:numId w:val="44"/>
              </w:numPr>
              <w:spacing w:before="0" w:beforeAutospacing="0" w:after="0" w:afterAutospacing="0"/>
              <w:ind w:left="2520" w:firstLine="0"/>
              <w:textAlignment w:val="baseline"/>
              <w:rPr>
                <w:sz w:val="20"/>
                <w:szCs w:val="20"/>
              </w:rPr>
            </w:pPr>
            <w:r w:rsidRPr="007424E0">
              <w:rPr>
                <w:rStyle w:val="normaltextrun"/>
                <w:i/>
                <w:iCs/>
                <w:sz w:val="20"/>
                <w:szCs w:val="20"/>
              </w:rPr>
              <w:t>For 4% Credit Applicants, properties which have been in the control of the Applicant or a related party for a period of three (3) years or less will be valued at the acquisition cost at the time the related party obtained initial site control.</w:t>
            </w:r>
            <w:r w:rsidRPr="007424E0">
              <w:rPr>
                <w:rStyle w:val="eop"/>
                <w:sz w:val="20"/>
                <w:szCs w:val="20"/>
              </w:rPr>
              <w:t> </w:t>
            </w:r>
          </w:p>
          <w:p w14:paraId="6983D35D" w14:textId="77777777" w:rsidR="00B24E0A" w:rsidRPr="007424E0" w:rsidRDefault="00B24E0A" w:rsidP="000F6D48">
            <w:pPr>
              <w:pStyle w:val="paragraph"/>
              <w:spacing w:before="0" w:beforeAutospacing="0" w:after="0" w:afterAutospacing="0"/>
              <w:ind w:left="1440"/>
              <w:textAlignment w:val="baseline"/>
              <w:rPr>
                <w:sz w:val="20"/>
                <w:szCs w:val="20"/>
              </w:rPr>
            </w:pPr>
            <w:r w:rsidRPr="007424E0">
              <w:rPr>
                <w:rStyle w:val="eop"/>
                <w:sz w:val="20"/>
                <w:szCs w:val="20"/>
              </w:rPr>
              <w:t> </w:t>
            </w:r>
          </w:p>
          <w:p w14:paraId="0150848F" w14:textId="77777777" w:rsidR="00B24E0A" w:rsidRPr="007424E0" w:rsidRDefault="00B24E0A" w:rsidP="000F6D48">
            <w:pPr>
              <w:pStyle w:val="paragraph"/>
              <w:numPr>
                <w:ilvl w:val="0"/>
                <w:numId w:val="45"/>
              </w:numPr>
              <w:spacing w:before="0" w:beforeAutospacing="0" w:after="0" w:afterAutospacing="0"/>
              <w:ind w:left="1080" w:firstLine="0"/>
              <w:textAlignment w:val="baseline"/>
              <w:rPr>
                <w:sz w:val="20"/>
                <w:szCs w:val="20"/>
              </w:rPr>
            </w:pPr>
            <w:r w:rsidRPr="007424E0">
              <w:rPr>
                <w:rStyle w:val="normaltextrun"/>
                <w:sz w:val="20"/>
                <w:szCs w:val="20"/>
              </w:rPr>
              <w:t xml:space="preserve">Please see DCA’s response to question </w:t>
            </w:r>
            <w:r w:rsidRPr="007424E0">
              <w:rPr>
                <w:rStyle w:val="normaltextrun"/>
                <w:b/>
                <w:bCs/>
                <w:sz w:val="20"/>
                <w:szCs w:val="20"/>
              </w:rPr>
              <w:t>Q22_0404_01</w:t>
            </w:r>
            <w:r w:rsidRPr="007424E0">
              <w:rPr>
                <w:rStyle w:val="normaltextrun"/>
                <w:sz w:val="20"/>
                <w:szCs w:val="20"/>
              </w:rPr>
              <w:t xml:space="preserve"> posted to the </w:t>
            </w:r>
            <w:r w:rsidRPr="007424E0">
              <w:rPr>
                <w:rStyle w:val="normaltextrun"/>
                <w:i/>
                <w:iCs/>
                <w:sz w:val="20"/>
                <w:szCs w:val="20"/>
              </w:rPr>
              <w:t>2022 Questions and Answers</w:t>
            </w:r>
            <w:r w:rsidRPr="007424E0">
              <w:rPr>
                <w:rStyle w:val="normaltextrun"/>
                <w:sz w:val="20"/>
                <w:szCs w:val="20"/>
              </w:rPr>
              <w:t xml:space="preserve"> document on 4/14/22.  An appraisal is not required for phased developments that are allocating the current phase’s share (within 5 years of acquisition) of the acquisition costs paid to the third party.  The site control minimum documentation would be required.</w:t>
            </w:r>
          </w:p>
        </w:tc>
      </w:tr>
      <w:tr w:rsidR="00B24E0A" w:rsidRPr="007424E0" w14:paraId="6005C475" w14:textId="77777777" w:rsidTr="64301FE8">
        <w:trPr>
          <w:jc w:val="center"/>
        </w:trPr>
        <w:tc>
          <w:tcPr>
            <w:tcW w:w="1697" w:type="dxa"/>
            <w:shd w:val="clear" w:color="auto" w:fill="auto"/>
            <w:tcMar>
              <w:top w:w="72" w:type="dxa"/>
              <w:left w:w="115" w:type="dxa"/>
              <w:bottom w:w="72" w:type="dxa"/>
              <w:right w:w="115" w:type="dxa"/>
            </w:tcMar>
            <w:vAlign w:val="center"/>
          </w:tcPr>
          <w:p w14:paraId="7DAD216A"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75E7D02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2.09</w:t>
            </w:r>
          </w:p>
          <w:p w14:paraId="5929A5A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2DC52C7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Site Access</w:t>
            </w:r>
          </w:p>
        </w:tc>
        <w:tc>
          <w:tcPr>
            <w:tcW w:w="9585" w:type="dxa"/>
            <w:shd w:val="clear" w:color="auto" w:fill="auto"/>
            <w:tcMar>
              <w:top w:w="72" w:type="dxa"/>
              <w:left w:w="115" w:type="dxa"/>
              <w:bottom w:w="72" w:type="dxa"/>
              <w:right w:w="115" w:type="dxa"/>
            </w:tcMar>
            <w:vAlign w:val="center"/>
          </w:tcPr>
          <w:p w14:paraId="0047DCE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5FF22D3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Is the </w:t>
            </w:r>
            <w:r w:rsidRPr="007424E0">
              <w:rPr>
                <w:rFonts w:ascii="Times New Roman" w:eastAsia="Times New Roman" w:hAnsi="Times New Roman" w:cs="Times New Roman"/>
                <w:b/>
                <w:bCs/>
                <w:color w:val="000000"/>
                <w:sz w:val="20"/>
                <w:szCs w:val="20"/>
              </w:rPr>
              <w:t xml:space="preserve">(Threshold) Site Access </w:t>
            </w:r>
            <w:r w:rsidRPr="007424E0">
              <w:rPr>
                <w:rFonts w:ascii="Times New Roman" w:eastAsia="Times New Roman" w:hAnsi="Times New Roman" w:cs="Times New Roman"/>
                <w:color w:val="000000"/>
                <w:sz w:val="20"/>
                <w:szCs w:val="20"/>
              </w:rPr>
              <w:t>section applicable to rehabs? </w:t>
            </w:r>
          </w:p>
          <w:p w14:paraId="68BD394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E4C082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5E291F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per the QAP: “All sites proposed for development must provide a specified entrance that is legally accessible by paved roads.” </w:t>
            </w:r>
          </w:p>
        </w:tc>
      </w:tr>
      <w:tr w:rsidR="00B24E0A" w:rsidRPr="007424E0" w14:paraId="7DE5376D" w14:textId="77777777" w:rsidTr="64301FE8">
        <w:trPr>
          <w:jc w:val="center"/>
        </w:trPr>
        <w:tc>
          <w:tcPr>
            <w:tcW w:w="1697" w:type="dxa"/>
            <w:shd w:val="clear" w:color="auto" w:fill="auto"/>
            <w:tcMar>
              <w:top w:w="72" w:type="dxa"/>
              <w:left w:w="115" w:type="dxa"/>
              <w:bottom w:w="72" w:type="dxa"/>
              <w:right w:w="115" w:type="dxa"/>
            </w:tcMar>
            <w:vAlign w:val="center"/>
          </w:tcPr>
          <w:p w14:paraId="584EAAA6"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5CF57C9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3.02</w:t>
            </w:r>
          </w:p>
          <w:p w14:paraId="50B9A85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D7BD24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Applicability of Scoring Criteria</w:t>
            </w:r>
          </w:p>
        </w:tc>
        <w:tc>
          <w:tcPr>
            <w:tcW w:w="9585" w:type="dxa"/>
            <w:shd w:val="clear" w:color="auto" w:fill="auto"/>
            <w:tcMar>
              <w:top w:w="72" w:type="dxa"/>
              <w:left w:w="115" w:type="dxa"/>
              <w:bottom w:w="72" w:type="dxa"/>
              <w:right w:w="115" w:type="dxa"/>
            </w:tcMar>
            <w:vAlign w:val="center"/>
          </w:tcPr>
          <w:p w14:paraId="123E718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Q22_0520_01 </w:t>
            </w:r>
          </w:p>
          <w:p w14:paraId="0096984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The table in </w:t>
            </w:r>
            <w:r w:rsidRPr="007424E0">
              <w:rPr>
                <w:rFonts w:ascii="Times New Roman" w:eastAsia="Times New Roman" w:hAnsi="Times New Roman" w:cs="Times New Roman"/>
                <w:b/>
                <w:bCs/>
                <w:color w:val="000000"/>
                <w:sz w:val="20"/>
                <w:szCs w:val="20"/>
              </w:rPr>
              <w:t>(Scoring) Applicability of Scoring Criteria</w:t>
            </w:r>
            <w:r w:rsidRPr="007424E0">
              <w:rPr>
                <w:rFonts w:ascii="Times New Roman" w:eastAsia="Times New Roman" w:hAnsi="Times New Roman" w:cs="Times New Roman"/>
                <w:color w:val="000000"/>
                <w:sz w:val="20"/>
                <w:szCs w:val="20"/>
              </w:rPr>
              <w:t xml:space="preserve"> shows that preservation projects can't receive any points under sections IV-XIV, even though that is not explicitly stated under each section. Will you please confirm that this is correct and that it also means that no items on the checklist in these sections are required for preservations? </w:t>
            </w:r>
          </w:p>
          <w:p w14:paraId="2C5C607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EEC8C9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3D980E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(Scoring Criteria) Applicability of Scoring Criteria</w:t>
            </w:r>
            <w:r w:rsidRPr="007424E0">
              <w:rPr>
                <w:rFonts w:ascii="Times New Roman" w:eastAsia="Times New Roman" w:hAnsi="Times New Roman" w:cs="Times New Roman"/>
                <w:sz w:val="20"/>
                <w:szCs w:val="20"/>
              </w:rPr>
              <w:t xml:space="preserve"> states “Application evaluation will comprise separate competitive rankings based on scoring criteria specific to each of the following,” one separation being “New Supply or Preservation.” </w:t>
            </w:r>
          </w:p>
          <w:p w14:paraId="4A325D6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936299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Applications are only eligible to receive points in Scoring Criteria applicable to their designated competitive ranking (e.g., New Supply, HUD Preservation Set Aside, etc.), as indicated in the Applicability of Scoring Criteria table. Applicants are not required to complete a form or fulfill Minimum Documentation requirements for sections that do not apply to the competition the application is applying under. </w:t>
            </w:r>
          </w:p>
        </w:tc>
      </w:tr>
      <w:tr w:rsidR="00B24E0A" w:rsidRPr="007424E0" w14:paraId="4591C68F" w14:textId="77777777" w:rsidTr="64301FE8">
        <w:trPr>
          <w:jc w:val="center"/>
        </w:trPr>
        <w:tc>
          <w:tcPr>
            <w:tcW w:w="1697" w:type="dxa"/>
            <w:shd w:val="clear" w:color="auto" w:fill="auto"/>
            <w:tcMar>
              <w:top w:w="72" w:type="dxa"/>
              <w:left w:w="115" w:type="dxa"/>
              <w:bottom w:w="72" w:type="dxa"/>
              <w:right w:w="115" w:type="dxa"/>
            </w:tcMar>
            <w:vAlign w:val="center"/>
          </w:tcPr>
          <w:p w14:paraId="5D8C40B0"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5/24/22</w:t>
            </w:r>
          </w:p>
        </w:tc>
        <w:tc>
          <w:tcPr>
            <w:tcW w:w="2663" w:type="dxa"/>
            <w:shd w:val="clear" w:color="auto" w:fill="auto"/>
            <w:tcMar>
              <w:top w:w="72" w:type="dxa"/>
              <w:left w:w="115" w:type="dxa"/>
              <w:bottom w:w="72" w:type="dxa"/>
              <w:right w:w="115" w:type="dxa"/>
            </w:tcMar>
            <w:vAlign w:val="center"/>
          </w:tcPr>
          <w:p w14:paraId="689A95F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0D77685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8EA9C0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1B6FE0B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Q22_0518_02 </w:t>
            </w:r>
          </w:p>
          <w:p w14:paraId="2E0D1DE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How can we confirm the Life Expectancy Rate for our 2020 Census Tract? </w:t>
            </w:r>
          </w:p>
          <w:p w14:paraId="48411B0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4B7D6C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BB68ED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There is no Life Expectancy data available for 2020 Census Tracts. The Life Expectancy data has not been updated by the CDC and is therefore based on 2010 Census Tracts. Applicants may claim points based on the data for their site’s 2010 Census Tract. </w:t>
            </w:r>
          </w:p>
        </w:tc>
      </w:tr>
      <w:tr w:rsidR="00B24E0A" w:rsidRPr="007424E0" w14:paraId="0EE75A4E" w14:textId="77777777" w:rsidTr="64301FE8">
        <w:trPr>
          <w:jc w:val="center"/>
        </w:trPr>
        <w:tc>
          <w:tcPr>
            <w:tcW w:w="1697" w:type="dxa"/>
            <w:shd w:val="clear" w:color="auto" w:fill="auto"/>
            <w:tcMar>
              <w:top w:w="72" w:type="dxa"/>
              <w:left w:w="115" w:type="dxa"/>
              <w:bottom w:w="72" w:type="dxa"/>
              <w:right w:w="115" w:type="dxa"/>
            </w:tcMar>
            <w:vAlign w:val="center"/>
          </w:tcPr>
          <w:p w14:paraId="047B459A"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0829DCC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4907316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3FF335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Project Feasibility</w:t>
            </w:r>
          </w:p>
        </w:tc>
        <w:tc>
          <w:tcPr>
            <w:tcW w:w="9585" w:type="dxa"/>
            <w:shd w:val="clear" w:color="auto" w:fill="auto"/>
            <w:tcMar>
              <w:top w:w="72" w:type="dxa"/>
              <w:left w:w="115" w:type="dxa"/>
              <w:bottom w:w="72" w:type="dxa"/>
              <w:right w:w="115" w:type="dxa"/>
            </w:tcMar>
            <w:vAlign w:val="center"/>
          </w:tcPr>
          <w:p w14:paraId="60610178" w14:textId="77777777" w:rsidR="00B24E0A" w:rsidRPr="007424E0" w:rsidRDefault="00B24E0A" w:rsidP="000F6D48">
            <w:pPr>
              <w:pStyle w:val="paragraph"/>
              <w:spacing w:before="0" w:beforeAutospacing="0" w:after="0" w:afterAutospacing="0"/>
              <w:jc w:val="center"/>
              <w:textAlignment w:val="baseline"/>
              <w:rPr>
                <w:rStyle w:val="normaltextrun"/>
                <w:b/>
                <w:bCs/>
                <w:i/>
                <w:iCs/>
                <w:color w:val="FF0000"/>
                <w:sz w:val="20"/>
                <w:szCs w:val="20"/>
              </w:rPr>
            </w:pPr>
            <w:r w:rsidRPr="007424E0">
              <w:rPr>
                <w:rStyle w:val="normaltextrun"/>
                <w:b/>
                <w:bCs/>
                <w:i/>
                <w:iCs/>
                <w:color w:val="FF0000"/>
                <w:sz w:val="20"/>
                <w:szCs w:val="20"/>
              </w:rPr>
              <w:t xml:space="preserve">This Q&amp;A references the 9% Round but includes information relevant to 4%/Bonds applications.  </w:t>
            </w:r>
          </w:p>
          <w:p w14:paraId="04823E4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br/>
              <w:t>Question</w:t>
            </w:r>
            <w:r w:rsidRPr="007424E0">
              <w:rPr>
                <w:rStyle w:val="normaltextrun"/>
                <w:sz w:val="20"/>
                <w:szCs w:val="20"/>
              </w:rPr>
              <w:t>: Q0728_01</w:t>
            </w:r>
            <w:r w:rsidRPr="007424E0">
              <w:rPr>
                <w:rStyle w:val="eop"/>
                <w:sz w:val="20"/>
                <w:szCs w:val="20"/>
              </w:rPr>
              <w:t>  </w:t>
            </w:r>
          </w:p>
          <w:p w14:paraId="139BC99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We perform utility allowance studies for clients and were recently asked if we’ve been “approved" by DCA to provide this service, for purposes of </w:t>
            </w:r>
            <w:r w:rsidRPr="007424E0">
              <w:rPr>
                <w:rStyle w:val="normaltextrun"/>
                <w:b/>
                <w:bCs/>
                <w:sz w:val="20"/>
                <w:szCs w:val="20"/>
              </w:rPr>
              <w:t>(Threshold Criteria) Project Feasibility</w:t>
            </w:r>
            <w:r w:rsidRPr="007424E0">
              <w:rPr>
                <w:rStyle w:val="normaltextrun"/>
                <w:sz w:val="20"/>
                <w:szCs w:val="20"/>
              </w:rPr>
              <w:t xml:space="preserve">, subsection </w:t>
            </w:r>
            <w:r w:rsidRPr="007424E0">
              <w:rPr>
                <w:rStyle w:val="normaltextrun"/>
                <w:b/>
                <w:bCs/>
                <w:sz w:val="20"/>
                <w:szCs w:val="20"/>
              </w:rPr>
              <w:t>Operating Utility Allowance (UA)</w:t>
            </w:r>
            <w:r w:rsidRPr="007424E0">
              <w:rPr>
                <w:rStyle w:val="normaltextrun"/>
                <w:sz w:val="20"/>
                <w:szCs w:val="20"/>
              </w:rPr>
              <w:t>. How can I verify this?</w:t>
            </w:r>
            <w:r w:rsidRPr="007424E0">
              <w:rPr>
                <w:rStyle w:val="eop"/>
                <w:sz w:val="20"/>
                <w:szCs w:val="20"/>
              </w:rPr>
              <w:t> </w:t>
            </w:r>
          </w:p>
          <w:p w14:paraId="5A9073C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2B56FC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58F109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below excerpts are from DCA’s “Utility Allowance Methodology Change Requests” policy (</w:t>
            </w:r>
            <w:hyperlink r:id="rId35" w:tgtFrame="_blank" w:history="1">
              <w:r w:rsidRPr="007424E0">
                <w:rPr>
                  <w:rStyle w:val="normaltextrun"/>
                  <w:color w:val="0563C1"/>
                  <w:sz w:val="20"/>
                  <w:szCs w:val="20"/>
                  <w:u w:val="single"/>
                </w:rPr>
                <w:t>click here</w:t>
              </w:r>
            </w:hyperlink>
            <w:r w:rsidRPr="007424E0">
              <w:rPr>
                <w:rStyle w:val="normaltextrun"/>
                <w:sz w:val="20"/>
                <w:szCs w:val="20"/>
              </w:rPr>
              <w:t>). The below-referenced documents can be submitted with the full application for purposes of the Competitive Round and do not require pre-approval.  </w:t>
            </w:r>
            <w:r w:rsidRPr="007424E0">
              <w:rPr>
                <w:rStyle w:val="eop"/>
                <w:sz w:val="20"/>
                <w:szCs w:val="20"/>
              </w:rPr>
              <w:t> </w:t>
            </w:r>
          </w:p>
          <w:p w14:paraId="4C7D750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4009D5D"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“DCA may approve a UA based on an energy and water and sewage consumption and analysis model (ECM) prepared by a properly licensed engineer, or qualified professional. The owner and qualified professional must also certify that the model complies with all requirements and </w:t>
            </w:r>
            <w:r w:rsidRPr="007424E0">
              <w:rPr>
                <w:rStyle w:val="advancedproofingissue"/>
                <w:i/>
                <w:iCs/>
                <w:sz w:val="20"/>
                <w:szCs w:val="20"/>
              </w:rPr>
              <w:t>takes into account</w:t>
            </w:r>
            <w:r w:rsidRPr="007424E0">
              <w:rPr>
                <w:rStyle w:val="normaltextrun"/>
                <w:i/>
                <w:iCs/>
                <w:sz w:val="20"/>
                <w:szCs w:val="20"/>
              </w:rPr>
              <w:t xml:space="preserve"> specific factors including, but not limited to, unit size, building orientation, design and materials, mechanical systems, appliances, and characteristics of the building location.</w:t>
            </w:r>
            <w:r w:rsidRPr="007424E0">
              <w:rPr>
                <w:rStyle w:val="eop"/>
                <w:sz w:val="20"/>
                <w:szCs w:val="20"/>
              </w:rPr>
              <w:t> </w:t>
            </w:r>
          </w:p>
          <w:p w14:paraId="26A1B54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4B3487F"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If the ECM report is completed by a qualified professional that is not a properly licensed engineer, the request must include the qualifications and experience of the qualified professional in providing energy consumption utility allowance reports for a minimum of 2 years.</w:t>
            </w:r>
            <w:r w:rsidRPr="007424E0">
              <w:rPr>
                <w:rStyle w:val="eop"/>
                <w:sz w:val="20"/>
                <w:szCs w:val="20"/>
              </w:rPr>
              <w:t> </w:t>
            </w:r>
          </w:p>
          <w:p w14:paraId="0CF0E75D"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eop"/>
                <w:sz w:val="20"/>
                <w:szCs w:val="20"/>
              </w:rPr>
              <w:t> </w:t>
            </w:r>
          </w:p>
          <w:p w14:paraId="10E8893E"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Required Documents for Unlicensed Engineer or Other Qualified Professional</w:t>
            </w:r>
            <w:r w:rsidRPr="007424E0">
              <w:rPr>
                <w:rStyle w:val="eop"/>
                <w:sz w:val="20"/>
                <w:szCs w:val="20"/>
              </w:rPr>
              <w:t> </w:t>
            </w:r>
          </w:p>
          <w:p w14:paraId="43E5DAAD"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Additional Information: </w:t>
            </w:r>
            <w:r w:rsidRPr="007424E0">
              <w:rPr>
                <w:rStyle w:val="scxw2242163"/>
                <w:sz w:val="20"/>
                <w:szCs w:val="20"/>
              </w:rPr>
              <w:t> </w:t>
            </w:r>
            <w:r w:rsidRPr="007424E0">
              <w:rPr>
                <w:sz w:val="20"/>
                <w:szCs w:val="20"/>
              </w:rPr>
              <w:br/>
            </w:r>
            <w:r w:rsidRPr="007424E0">
              <w:rPr>
                <w:rStyle w:val="eop"/>
                <w:sz w:val="20"/>
                <w:szCs w:val="20"/>
              </w:rPr>
              <w:t> </w:t>
            </w:r>
          </w:p>
          <w:p w14:paraId="6402FFCE" w14:textId="77777777" w:rsidR="00B24E0A" w:rsidRPr="007424E0" w:rsidRDefault="00B24E0A" w:rsidP="000F6D48">
            <w:pPr>
              <w:pStyle w:val="paragraph"/>
              <w:numPr>
                <w:ilvl w:val="0"/>
                <w:numId w:val="38"/>
              </w:numPr>
              <w:spacing w:before="0" w:beforeAutospacing="0" w:after="0" w:afterAutospacing="0"/>
              <w:ind w:left="1800" w:firstLine="0"/>
              <w:textAlignment w:val="baseline"/>
              <w:rPr>
                <w:sz w:val="20"/>
                <w:szCs w:val="20"/>
              </w:rPr>
            </w:pPr>
            <w:r w:rsidRPr="007424E0">
              <w:rPr>
                <w:rStyle w:val="normaltextrun"/>
                <w:i/>
                <w:iCs/>
                <w:sz w:val="20"/>
                <w:szCs w:val="20"/>
              </w:rPr>
              <w:t>Description of the firm’s or energy professional’s experience compiling energy consumption models for use in residential multifamily properties for a minimum of 2 years</w:t>
            </w:r>
            <w:r w:rsidRPr="007424E0">
              <w:rPr>
                <w:rStyle w:val="eop"/>
                <w:sz w:val="20"/>
                <w:szCs w:val="20"/>
              </w:rPr>
              <w:t> </w:t>
            </w:r>
          </w:p>
          <w:p w14:paraId="621C5D52" w14:textId="77777777" w:rsidR="00B24E0A" w:rsidRPr="007424E0" w:rsidRDefault="00B24E0A" w:rsidP="000F6D48">
            <w:pPr>
              <w:pStyle w:val="paragraph"/>
              <w:numPr>
                <w:ilvl w:val="0"/>
                <w:numId w:val="39"/>
              </w:numPr>
              <w:spacing w:before="0" w:beforeAutospacing="0" w:after="0" w:afterAutospacing="0"/>
              <w:ind w:left="1800" w:firstLine="0"/>
              <w:textAlignment w:val="baseline"/>
              <w:rPr>
                <w:sz w:val="20"/>
                <w:szCs w:val="20"/>
              </w:rPr>
            </w:pPr>
            <w:r w:rsidRPr="007424E0">
              <w:rPr>
                <w:rStyle w:val="normaltextrun"/>
                <w:i/>
                <w:iCs/>
                <w:sz w:val="20"/>
                <w:szCs w:val="20"/>
              </w:rPr>
              <w:t>Resumes of staff responsible for completing the utility report</w:t>
            </w:r>
            <w:r w:rsidRPr="007424E0">
              <w:rPr>
                <w:rStyle w:val="eop"/>
                <w:sz w:val="20"/>
                <w:szCs w:val="20"/>
              </w:rPr>
              <w:t> </w:t>
            </w:r>
          </w:p>
          <w:p w14:paraId="75350AAC" w14:textId="77777777" w:rsidR="00B24E0A" w:rsidRPr="007424E0" w:rsidRDefault="00B24E0A" w:rsidP="000F6D48">
            <w:pPr>
              <w:pStyle w:val="paragraph"/>
              <w:numPr>
                <w:ilvl w:val="0"/>
                <w:numId w:val="40"/>
              </w:numPr>
              <w:spacing w:before="0" w:beforeAutospacing="0" w:after="0" w:afterAutospacing="0"/>
              <w:ind w:left="1800" w:firstLine="0"/>
              <w:textAlignment w:val="baseline"/>
              <w:rPr>
                <w:rStyle w:val="normaltextrun"/>
                <w:sz w:val="20"/>
                <w:szCs w:val="20"/>
              </w:rPr>
            </w:pPr>
            <w:r w:rsidRPr="007424E0">
              <w:rPr>
                <w:rStyle w:val="normaltextrun"/>
                <w:i/>
                <w:iCs/>
                <w:sz w:val="20"/>
                <w:szCs w:val="20"/>
              </w:rPr>
              <w:t>Certifications and licenses relevant to the development and implementation of an energy consumption model (</w:t>
            </w:r>
            <w:r w:rsidRPr="007424E0">
              <w:rPr>
                <w:rStyle w:val="contextualspellingandgrammarerror"/>
                <w:i/>
                <w:iCs/>
                <w:sz w:val="20"/>
                <w:szCs w:val="20"/>
              </w:rPr>
              <w:t>e.g.</w:t>
            </w:r>
            <w:r w:rsidRPr="007424E0">
              <w:rPr>
                <w:rStyle w:val="normaltextrun"/>
                <w:i/>
                <w:iCs/>
                <w:sz w:val="20"/>
                <w:szCs w:val="20"/>
              </w:rPr>
              <w:t xml:space="preserve"> Professional Architect license, Certified Energy Manager or similar designation)</w:t>
            </w:r>
            <w:r w:rsidRPr="007424E0">
              <w:rPr>
                <w:rStyle w:val="eop"/>
                <w:sz w:val="20"/>
                <w:szCs w:val="20"/>
              </w:rPr>
              <w:t> </w:t>
            </w:r>
          </w:p>
        </w:tc>
      </w:tr>
      <w:tr w:rsidR="00B24E0A" w:rsidRPr="007424E0" w14:paraId="72CA7073" w14:textId="77777777" w:rsidTr="64301FE8">
        <w:trPr>
          <w:jc w:val="center"/>
        </w:trPr>
        <w:tc>
          <w:tcPr>
            <w:tcW w:w="1697" w:type="dxa"/>
            <w:shd w:val="clear" w:color="auto" w:fill="auto"/>
            <w:tcMar>
              <w:top w:w="72" w:type="dxa"/>
              <w:left w:w="115" w:type="dxa"/>
              <w:bottom w:w="72" w:type="dxa"/>
              <w:right w:w="115" w:type="dxa"/>
            </w:tcMar>
            <w:vAlign w:val="center"/>
          </w:tcPr>
          <w:p w14:paraId="5C801283"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385323E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689609F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F0A5FB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2C07C94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Q22_0511_15 </w:t>
            </w:r>
          </w:p>
          <w:p w14:paraId="41C166A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What does the following sentence mean regarding green building consultant fees and developer fee limits? Is this sentence a holdover from a prior QAP that no longer applies, since developer fees are now based on unit count, not costs?  </w:t>
            </w:r>
          </w:p>
          <w:p w14:paraId="338D22C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487B6EDA"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i/>
                <w:iCs/>
                <w:color w:val="000000"/>
                <w:sz w:val="20"/>
                <w:szCs w:val="20"/>
              </w:rPr>
              <w:t xml:space="preserve">“The maximum allowable Developer fee includes Consultants' fees for each project. </w:t>
            </w:r>
            <w:r w:rsidRPr="007424E0">
              <w:rPr>
                <w:rFonts w:ascii="Times New Roman" w:eastAsia="Times New Roman" w:hAnsi="Times New Roman" w:cs="Times New Roman"/>
                <w:i/>
                <w:iCs/>
                <w:color w:val="000000"/>
                <w:sz w:val="20"/>
                <w:szCs w:val="20"/>
                <w:u w:val="single"/>
              </w:rPr>
              <w:t>DCA will allow a limited exception and not include Consultant fees for the purpose of obtaining green building certifications in the Developer fee calculation</w:t>
            </w:r>
            <w:r w:rsidRPr="007424E0">
              <w:rPr>
                <w:rFonts w:ascii="Times New Roman" w:eastAsia="Times New Roman" w:hAnsi="Times New Roman" w:cs="Times New Roman"/>
                <w:i/>
                <w:iCs/>
                <w:color w:val="000000"/>
                <w:sz w:val="20"/>
                <w:szCs w:val="20"/>
              </w:rPr>
              <w:t>.”</w:t>
            </w:r>
            <w:r w:rsidRPr="007424E0">
              <w:rPr>
                <w:rFonts w:ascii="Times New Roman" w:eastAsia="Times New Roman" w:hAnsi="Times New Roman" w:cs="Times New Roman"/>
                <w:color w:val="000000"/>
                <w:sz w:val="20"/>
                <w:szCs w:val="20"/>
              </w:rPr>
              <w:t> </w:t>
            </w:r>
          </w:p>
          <w:p w14:paraId="42587D2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7C5565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88D60E1"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 referenced policy, from </w:t>
            </w: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still holds. It states that green building consultant fees can be disregarded for purposes of confirming that the sum of developer fees, consultant fees, etc. are under the </w:t>
            </w:r>
            <w:r w:rsidRPr="007424E0">
              <w:rPr>
                <w:rFonts w:ascii="Times New Roman" w:eastAsia="Times New Roman" w:hAnsi="Times New Roman" w:cs="Times New Roman"/>
                <w:b/>
                <w:bCs/>
                <w:sz w:val="20"/>
                <w:szCs w:val="20"/>
              </w:rPr>
              <w:t>Developer Fee Amounts</w:t>
            </w:r>
            <w:r w:rsidRPr="007424E0">
              <w:rPr>
                <w:rFonts w:ascii="Times New Roman" w:eastAsia="Times New Roman" w:hAnsi="Times New Roman" w:cs="Times New Roman"/>
                <w:sz w:val="20"/>
                <w:szCs w:val="20"/>
              </w:rPr>
              <w:t xml:space="preserve"> listed in this section. This is why in the Core Application, “Green Building Consultant Fees” is listed under “Professional Services,” not contained within the “Consultant’s fee” line item.  </w:t>
            </w:r>
          </w:p>
        </w:tc>
      </w:tr>
      <w:tr w:rsidR="00B24E0A" w:rsidRPr="007424E0" w14:paraId="23B60B3F" w14:textId="77777777" w:rsidTr="64301FE8">
        <w:trPr>
          <w:jc w:val="center"/>
        </w:trPr>
        <w:tc>
          <w:tcPr>
            <w:tcW w:w="1697" w:type="dxa"/>
            <w:shd w:val="clear" w:color="auto" w:fill="auto"/>
            <w:tcMar>
              <w:top w:w="72" w:type="dxa"/>
              <w:left w:w="115" w:type="dxa"/>
              <w:bottom w:w="72" w:type="dxa"/>
              <w:right w:w="115" w:type="dxa"/>
            </w:tcMar>
            <w:vAlign w:val="center"/>
          </w:tcPr>
          <w:p w14:paraId="5B48EE60"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17EDC9C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3.04</w:t>
            </w:r>
          </w:p>
          <w:p w14:paraId="1863405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2A75FE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Deeper Targeting</w:t>
            </w:r>
          </w:p>
        </w:tc>
        <w:tc>
          <w:tcPr>
            <w:tcW w:w="9585" w:type="dxa"/>
            <w:shd w:val="clear" w:color="auto" w:fill="auto"/>
            <w:tcMar>
              <w:top w:w="72" w:type="dxa"/>
              <w:left w:w="115" w:type="dxa"/>
              <w:bottom w:w="72" w:type="dxa"/>
              <w:right w:w="115" w:type="dxa"/>
            </w:tcMar>
            <w:vAlign w:val="center"/>
          </w:tcPr>
          <w:p w14:paraId="5A162FA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Q22_0413_15 </w:t>
            </w:r>
          </w:p>
          <w:p w14:paraId="202DF4C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Deeper Targeting - B. New PBRA: This section states the applicant must provide a Commitment for PBRA executed by authorized regulatory agency.  If the new PBRA is a HUD source administered by a Public Housing Authority, can DCA confirm if a commitment from the Public Housing Authority will suffice, even if final HUD approval will be provided after the application submission deadline? </w:t>
            </w:r>
          </w:p>
          <w:p w14:paraId="1E134B9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5485BB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color w:val="000000"/>
                <w:sz w:val="20"/>
                <w:szCs w:val="20"/>
              </w:rPr>
              <w:t>Answer</w:t>
            </w:r>
            <w:r w:rsidRPr="007424E0">
              <w:rPr>
                <w:rFonts w:ascii="Times New Roman" w:eastAsia="Times New Roman" w:hAnsi="Times New Roman" w:cs="Times New Roman"/>
                <w:color w:val="000000"/>
                <w:sz w:val="20"/>
                <w:szCs w:val="20"/>
              </w:rPr>
              <w:t>:  </w:t>
            </w:r>
          </w:p>
          <w:p w14:paraId="23F25BBC"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requires evidence of HUD approval where HUD is the authorized regulatory agency for the PBRA. For purposes of RAD/Section 18 blends, applicants can request HUD’s signature for the template letter posted to the DCA website, approved by both HUD and DCA (see </w:t>
            </w:r>
            <w:r w:rsidRPr="007424E0">
              <w:rPr>
                <w:rFonts w:ascii="Times New Roman" w:eastAsia="Times New Roman" w:hAnsi="Times New Roman" w:cs="Times New Roman"/>
                <w:b/>
                <w:bCs/>
                <w:color w:val="000000"/>
                <w:sz w:val="20"/>
                <w:szCs w:val="20"/>
              </w:rPr>
              <w:t>Q22_0418_15</w:t>
            </w:r>
            <w:r w:rsidRPr="007424E0">
              <w:rPr>
                <w:rFonts w:ascii="Times New Roman" w:eastAsia="Times New Roman" w:hAnsi="Times New Roman" w:cs="Times New Roman"/>
                <w:color w:val="000000"/>
                <w:sz w:val="20"/>
                <w:szCs w:val="20"/>
              </w:rPr>
              <w:t>).   </w:t>
            </w:r>
          </w:p>
        </w:tc>
      </w:tr>
      <w:tr w:rsidR="00B24E0A" w:rsidRPr="007424E0" w14:paraId="27A24BA3" w14:textId="77777777" w:rsidTr="64301FE8">
        <w:trPr>
          <w:jc w:val="center"/>
        </w:trPr>
        <w:tc>
          <w:tcPr>
            <w:tcW w:w="1697" w:type="dxa"/>
            <w:shd w:val="clear" w:color="auto" w:fill="auto"/>
            <w:tcMar>
              <w:top w:w="72" w:type="dxa"/>
              <w:left w:w="115" w:type="dxa"/>
              <w:bottom w:w="72" w:type="dxa"/>
              <w:right w:w="115" w:type="dxa"/>
            </w:tcMar>
            <w:vAlign w:val="center"/>
          </w:tcPr>
          <w:p w14:paraId="19DA4276"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53462C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25BEA28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D6D989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1082BAC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Q22_0503_01b </w:t>
            </w:r>
          </w:p>
          <w:p w14:paraId="0243744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Does a chiropractic clinic qualify as a medical care provider? Our site is serving seniors and we believe the clinic will certainly address some of their medical needs, but we wanted to confirm. </w:t>
            </w:r>
          </w:p>
          <w:p w14:paraId="70D08C6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BA81A2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AFF170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This question pertains to where</w:t>
            </w:r>
            <w:r w:rsidRPr="007424E0">
              <w:rPr>
                <w:rFonts w:ascii="Times New Roman" w:eastAsia="Times New Roman" w:hAnsi="Times New Roman" w:cs="Times New Roman"/>
                <w:b/>
                <w:bCs/>
                <w:sz w:val="20"/>
                <w:szCs w:val="20"/>
              </w:rPr>
              <w:t xml:space="preserve"> (Scoring Criteria) Desirable/Undesirable Activities</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Desirable Activities</w:t>
            </w:r>
            <w:r w:rsidRPr="007424E0">
              <w:rPr>
                <w:rFonts w:ascii="Times New Roman" w:eastAsia="Times New Roman" w:hAnsi="Times New Roman" w:cs="Times New Roman"/>
                <w:sz w:val="20"/>
                <w:szCs w:val="20"/>
              </w:rPr>
              <w:t xml:space="preserve"> lists “Medical care provider (e.g. clinic, physician/dental office)” as an option under “Medical Care.” </w:t>
            </w:r>
          </w:p>
          <w:p w14:paraId="3722C2A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Health care professions that are licensed under the Georgia Medical Board or a board associated with the Secretary of State will qualify (</w:t>
            </w:r>
            <w:hyperlink r:id="rId36"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sz w:val="20"/>
                <w:szCs w:val="20"/>
              </w:rPr>
              <w:t xml:space="preserve"> to view health care professions licensed under each). This list is intended to be a safe harbor, not all encompassing, for purposes of this Desirable Activities option.  </w:t>
            </w:r>
            <w:r w:rsidRPr="007424E0">
              <w:rPr>
                <w:rFonts w:ascii="Times New Roman" w:eastAsia="Times New Roman" w:hAnsi="Times New Roman" w:cs="Times New Roman"/>
                <w:sz w:val="20"/>
                <w:szCs w:val="20"/>
              </w:rPr>
              <w:br/>
            </w:r>
          </w:p>
          <w:p w14:paraId="4B9358F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“Chiropractors” is on the Secretary of State list, so a chiropractic clinic would qualify.  </w:t>
            </w:r>
            <w:r w:rsidRPr="007424E0">
              <w:rPr>
                <w:rFonts w:ascii="Times New Roman" w:eastAsia="Times New Roman" w:hAnsi="Times New Roman" w:cs="Times New Roman"/>
                <w:sz w:val="20"/>
                <w:szCs w:val="20"/>
              </w:rPr>
              <w:br/>
            </w:r>
          </w:p>
          <w:p w14:paraId="6EC8C7B5"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uses the term “clinic” under this option, and thus an establishment associated with a profession on the above lists would only qualify if it is accessible by residents directly for health care services. For example, an emergency medical technicians training facility would not qualify, even though the profession is on the above-referenced list.</w:t>
            </w:r>
          </w:p>
        </w:tc>
      </w:tr>
      <w:tr w:rsidR="00B24E0A" w:rsidRPr="007424E0" w14:paraId="6922C4B1" w14:textId="77777777" w:rsidTr="64301FE8">
        <w:trPr>
          <w:jc w:val="center"/>
        </w:trPr>
        <w:tc>
          <w:tcPr>
            <w:tcW w:w="1697" w:type="dxa"/>
            <w:shd w:val="clear" w:color="auto" w:fill="auto"/>
            <w:tcMar>
              <w:top w:w="72" w:type="dxa"/>
              <w:left w:w="115" w:type="dxa"/>
              <w:bottom w:w="72" w:type="dxa"/>
              <w:right w:w="115" w:type="dxa"/>
            </w:tcMar>
            <w:vAlign w:val="center"/>
          </w:tcPr>
          <w:p w14:paraId="183C80D0"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5/19/22</w:t>
            </w:r>
          </w:p>
        </w:tc>
        <w:tc>
          <w:tcPr>
            <w:tcW w:w="2663" w:type="dxa"/>
            <w:shd w:val="clear" w:color="auto" w:fill="auto"/>
            <w:tcMar>
              <w:top w:w="72" w:type="dxa"/>
              <w:left w:w="115" w:type="dxa"/>
              <w:bottom w:w="72" w:type="dxa"/>
              <w:right w:w="115" w:type="dxa"/>
            </w:tcMar>
            <w:vAlign w:val="center"/>
          </w:tcPr>
          <w:p w14:paraId="642661C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3.16</w:t>
            </w:r>
          </w:p>
          <w:p w14:paraId="2F832F8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6C2DBA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Internet Access</w:t>
            </w:r>
          </w:p>
        </w:tc>
        <w:tc>
          <w:tcPr>
            <w:tcW w:w="9585" w:type="dxa"/>
            <w:shd w:val="clear" w:color="auto" w:fill="auto"/>
            <w:tcMar>
              <w:top w:w="72" w:type="dxa"/>
              <w:left w:w="115" w:type="dxa"/>
              <w:bottom w:w="72" w:type="dxa"/>
              <w:right w:w="115" w:type="dxa"/>
            </w:tcMar>
            <w:vAlign w:val="center"/>
          </w:tcPr>
          <w:p w14:paraId="0C727E4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Q22_0317_01 </w:t>
            </w:r>
            <w:r w:rsidRPr="007424E0">
              <w:rPr>
                <w:rStyle w:val="eop"/>
                <w:sz w:val="20"/>
                <w:szCs w:val="20"/>
              </w:rPr>
              <w:t> </w:t>
            </w:r>
          </w:p>
          <w:p w14:paraId="1F640C8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 xml:space="preserve">In the section </w:t>
            </w:r>
            <w:r w:rsidRPr="007424E0">
              <w:rPr>
                <w:rStyle w:val="normaltextrun"/>
                <w:b/>
                <w:bCs/>
                <w:color w:val="000000"/>
                <w:sz w:val="20"/>
                <w:szCs w:val="20"/>
              </w:rPr>
              <w:t>(Scoring) Internet Access</w:t>
            </w:r>
            <w:r w:rsidRPr="007424E0">
              <w:rPr>
                <w:rStyle w:val="normaltextrun"/>
                <w:color w:val="000000"/>
                <w:sz w:val="20"/>
                <w:szCs w:val="20"/>
              </w:rPr>
              <w:t xml:space="preserve">, it states that 1 point could be awarded for high-speed internet/broadband service for each unit or 2 points for high-speed internet/broadband service for each unit if the service will be Wi-Fi. Does this mean that each unit </w:t>
            </w:r>
            <w:r w:rsidRPr="007424E0">
              <w:rPr>
                <w:rStyle w:val="advancedproofingissue"/>
                <w:rFonts w:eastAsiaTheme="majorEastAsia"/>
                <w:color w:val="000000"/>
                <w:sz w:val="20"/>
                <w:szCs w:val="20"/>
              </w:rPr>
              <w:t>has to</w:t>
            </w:r>
            <w:r w:rsidRPr="007424E0">
              <w:rPr>
                <w:rStyle w:val="normaltextrun"/>
                <w:color w:val="000000"/>
                <w:sz w:val="20"/>
                <w:szCs w:val="20"/>
              </w:rPr>
              <w:t xml:space="preserve"> be wired for the capability to access free high-speed internet/broadband or </w:t>
            </w:r>
            <w:proofErr w:type="spellStart"/>
            <w:r w:rsidRPr="007424E0">
              <w:rPr>
                <w:rStyle w:val="spellingerror"/>
                <w:rFonts w:eastAsiaTheme="majorEastAsia"/>
                <w:color w:val="000000"/>
                <w:sz w:val="20"/>
                <w:szCs w:val="20"/>
              </w:rPr>
              <w:t>WiFi</w:t>
            </w:r>
            <w:proofErr w:type="spellEnd"/>
            <w:r w:rsidRPr="007424E0">
              <w:rPr>
                <w:rStyle w:val="normaltextrun"/>
                <w:color w:val="000000"/>
                <w:sz w:val="20"/>
                <w:szCs w:val="20"/>
              </w:rPr>
              <w:t>? Please provide the specifications for what is expected out of this scoring item. </w:t>
            </w:r>
            <w:r w:rsidRPr="007424E0">
              <w:rPr>
                <w:rStyle w:val="eop"/>
                <w:color w:val="000000"/>
                <w:sz w:val="20"/>
                <w:szCs w:val="20"/>
              </w:rPr>
              <w:t> </w:t>
            </w:r>
          </w:p>
          <w:p w14:paraId="5C40F4C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2FC35F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0AE0D6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Applicants claiming points in this section are making a commitment to fully subsidize the cost of high-speed internet/broadband service for residents in all units, which is defined in </w:t>
            </w:r>
            <w:r w:rsidRPr="007424E0">
              <w:rPr>
                <w:rStyle w:val="normaltextrun"/>
                <w:b/>
                <w:bCs/>
                <w:sz w:val="20"/>
                <w:szCs w:val="20"/>
              </w:rPr>
              <w:t>(Threshold) Architectural Design and Quality Standards</w:t>
            </w:r>
            <w:r w:rsidRPr="007424E0">
              <w:rPr>
                <w:rStyle w:val="normaltextrun"/>
                <w:sz w:val="20"/>
                <w:szCs w:val="20"/>
              </w:rPr>
              <w:t xml:space="preserve"> as having “the capability to transmit at a rate of not less than 25 megabits per second in the downstream direction and at least 3 megabits per second in the upstream direction to end users.” </w:t>
            </w:r>
            <w:r w:rsidRPr="007424E0">
              <w:rPr>
                <w:rStyle w:val="scxw158413129"/>
                <w:sz w:val="20"/>
                <w:szCs w:val="20"/>
              </w:rPr>
              <w:t> </w:t>
            </w:r>
            <w:r w:rsidRPr="007424E0">
              <w:rPr>
                <w:sz w:val="20"/>
                <w:szCs w:val="20"/>
              </w:rPr>
              <w:br/>
            </w:r>
            <w:r w:rsidRPr="007424E0">
              <w:rPr>
                <w:rStyle w:val="eop"/>
                <w:sz w:val="20"/>
                <w:szCs w:val="20"/>
              </w:rPr>
              <w:t> </w:t>
            </w:r>
          </w:p>
          <w:p w14:paraId="1044303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This requires applicants to:</w:t>
            </w:r>
            <w:r w:rsidRPr="007424E0">
              <w:rPr>
                <w:rStyle w:val="scxw158413129"/>
                <w:sz w:val="20"/>
                <w:szCs w:val="20"/>
              </w:rPr>
              <w:t> </w:t>
            </w:r>
            <w:r w:rsidRPr="007424E0">
              <w:rPr>
                <w:sz w:val="20"/>
                <w:szCs w:val="20"/>
              </w:rPr>
              <w:br/>
            </w:r>
            <w:r w:rsidRPr="007424E0">
              <w:rPr>
                <w:rStyle w:val="eop"/>
                <w:sz w:val="20"/>
                <w:szCs w:val="20"/>
              </w:rPr>
              <w:t> </w:t>
            </w:r>
          </w:p>
          <w:p w14:paraId="22FB3A27" w14:textId="77777777" w:rsidR="00B24E0A" w:rsidRPr="007424E0" w:rsidRDefault="00B24E0A" w:rsidP="000F6D48">
            <w:pPr>
              <w:pStyle w:val="paragraph"/>
              <w:numPr>
                <w:ilvl w:val="0"/>
                <w:numId w:val="34"/>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Ensure each unit has the capability to access high-speed internet/broadband service (Wi-Fi if claiming 2 points); and </w:t>
            </w:r>
            <w:r w:rsidRPr="007424E0">
              <w:rPr>
                <w:rStyle w:val="eop"/>
                <w:rFonts w:eastAsia="MS Mincho"/>
                <w:sz w:val="20"/>
                <w:szCs w:val="20"/>
              </w:rPr>
              <w:t> </w:t>
            </w:r>
          </w:p>
          <w:p w14:paraId="1AF2A12B" w14:textId="77777777" w:rsidR="00B24E0A" w:rsidRPr="007424E0" w:rsidRDefault="00B24E0A" w:rsidP="000F6D48">
            <w:pPr>
              <w:pStyle w:val="paragraph"/>
              <w:numPr>
                <w:ilvl w:val="0"/>
                <w:numId w:val="35"/>
              </w:numPr>
              <w:spacing w:before="0" w:beforeAutospacing="0" w:after="0" w:afterAutospacing="0"/>
              <w:ind w:left="1080" w:firstLine="0"/>
              <w:textAlignment w:val="baseline"/>
              <w:rPr>
                <w:sz w:val="20"/>
                <w:szCs w:val="20"/>
              </w:rPr>
            </w:pPr>
            <w:r w:rsidRPr="007424E0">
              <w:rPr>
                <w:rStyle w:val="normaltextrun"/>
                <w:sz w:val="20"/>
                <w:szCs w:val="20"/>
              </w:rPr>
              <w:t>Pay for the operating costs of residents having free access to high-speed internet/broadband service in each unit.</w:t>
            </w:r>
            <w:r w:rsidRPr="007424E0">
              <w:rPr>
                <w:rStyle w:val="eop"/>
                <w:sz w:val="20"/>
                <w:szCs w:val="20"/>
              </w:rPr>
              <w:t> </w:t>
            </w:r>
          </w:p>
          <w:p w14:paraId="691DAE8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32BD954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Core Application prompts applicants claiming points in this section as follows: </w:t>
            </w:r>
            <w:r w:rsidRPr="007424E0">
              <w:rPr>
                <w:rStyle w:val="eop"/>
                <w:sz w:val="20"/>
                <w:szCs w:val="20"/>
              </w:rPr>
              <w:t> </w:t>
            </w:r>
          </w:p>
          <w:p w14:paraId="2E14F15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47BEFBF" w14:textId="77777777" w:rsidR="00B24E0A" w:rsidRPr="007424E0" w:rsidRDefault="00B24E0A" w:rsidP="000F6D48">
            <w:pPr>
              <w:pStyle w:val="paragraph"/>
              <w:numPr>
                <w:ilvl w:val="0"/>
                <w:numId w:val="36"/>
              </w:numPr>
              <w:spacing w:before="0" w:beforeAutospacing="0" w:after="0" w:afterAutospacing="0"/>
              <w:ind w:left="1080" w:firstLine="0"/>
              <w:textAlignment w:val="baseline"/>
              <w:rPr>
                <w:sz w:val="20"/>
                <w:szCs w:val="20"/>
              </w:rPr>
            </w:pPr>
            <w:r w:rsidRPr="007424E0">
              <w:rPr>
                <w:rStyle w:val="normaltextrun"/>
                <w:sz w:val="20"/>
                <w:szCs w:val="20"/>
              </w:rPr>
              <w:t>Revenues &amp; Expenses tab: input the projected expenses of paying for internet </w:t>
            </w:r>
            <w:r w:rsidRPr="007424E0">
              <w:rPr>
                <w:rStyle w:val="eop"/>
                <w:sz w:val="20"/>
                <w:szCs w:val="20"/>
              </w:rPr>
              <w:t> </w:t>
            </w:r>
          </w:p>
          <w:p w14:paraId="51A95B5C" w14:textId="77777777" w:rsidR="00B24E0A" w:rsidRPr="007424E0" w:rsidRDefault="00B24E0A" w:rsidP="000F6D48">
            <w:pPr>
              <w:pStyle w:val="paragraph"/>
              <w:numPr>
                <w:ilvl w:val="0"/>
                <w:numId w:val="37"/>
              </w:numPr>
              <w:spacing w:before="0" w:beforeAutospacing="0" w:after="0" w:afterAutospacing="0"/>
              <w:ind w:left="1080" w:firstLine="0"/>
              <w:textAlignment w:val="baseline"/>
              <w:rPr>
                <w:rStyle w:val="normaltextrun"/>
                <w:sz w:val="20"/>
                <w:szCs w:val="20"/>
              </w:rPr>
            </w:pPr>
            <w:r w:rsidRPr="007424E0">
              <w:rPr>
                <w:rStyle w:val="normaltextrun"/>
                <w:sz w:val="20"/>
                <w:szCs w:val="20"/>
              </w:rPr>
              <w:t>Scoring Criteria tab: Describe how the estimate was derived and reference any supporting documentation</w:t>
            </w:r>
            <w:r w:rsidRPr="007424E0">
              <w:rPr>
                <w:rStyle w:val="eop"/>
                <w:sz w:val="20"/>
                <w:szCs w:val="20"/>
              </w:rPr>
              <w:t> </w:t>
            </w:r>
          </w:p>
        </w:tc>
      </w:tr>
      <w:tr w:rsidR="00B24E0A" w:rsidRPr="007424E0" w14:paraId="65E155CC" w14:textId="77777777" w:rsidTr="64301FE8">
        <w:trPr>
          <w:jc w:val="center"/>
        </w:trPr>
        <w:tc>
          <w:tcPr>
            <w:tcW w:w="1697" w:type="dxa"/>
            <w:shd w:val="clear" w:color="auto" w:fill="auto"/>
            <w:tcMar>
              <w:top w:w="72" w:type="dxa"/>
              <w:left w:w="115" w:type="dxa"/>
              <w:bottom w:w="72" w:type="dxa"/>
              <w:right w:w="115" w:type="dxa"/>
            </w:tcMar>
            <w:vAlign w:val="center"/>
          </w:tcPr>
          <w:p w14:paraId="75E0A632"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4654BB9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3BAD20D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BD2A10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5A78E5E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Q22_0510_02</w:t>
            </w:r>
            <w:r w:rsidRPr="007424E0">
              <w:rPr>
                <w:rStyle w:val="eop"/>
                <w:sz w:val="20"/>
                <w:szCs w:val="20"/>
              </w:rPr>
              <w:t> </w:t>
            </w:r>
          </w:p>
          <w:p w14:paraId="6B18D70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color w:val="000000"/>
                <w:sz w:val="20"/>
                <w:szCs w:val="20"/>
              </w:rPr>
              <w:t>Can you confirm that the minimum standards listed below are applicable for both new construction and rehabilitation projects? </w:t>
            </w:r>
            <w:r w:rsidRPr="007424E0">
              <w:rPr>
                <w:rStyle w:val="eop"/>
                <w:color w:val="000000"/>
                <w:sz w:val="20"/>
                <w:szCs w:val="20"/>
              </w:rPr>
              <w:t> </w:t>
            </w:r>
          </w:p>
          <w:p w14:paraId="32FF5C3A" w14:textId="77777777" w:rsidR="00B24E0A" w:rsidRPr="007424E0" w:rsidRDefault="00B24E0A"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Obtain a sustainable building certification</w:t>
            </w:r>
            <w:r w:rsidRPr="007424E0">
              <w:rPr>
                <w:rStyle w:val="eop"/>
                <w:color w:val="000000"/>
                <w:sz w:val="20"/>
                <w:szCs w:val="20"/>
              </w:rPr>
              <w:t> </w:t>
            </w:r>
          </w:p>
          <w:p w14:paraId="0981E7A1" w14:textId="77777777" w:rsidR="00B24E0A" w:rsidRPr="007424E0" w:rsidRDefault="00B24E0A" w:rsidP="000F6D48">
            <w:pPr>
              <w:pStyle w:val="paragraph"/>
              <w:numPr>
                <w:ilvl w:val="0"/>
                <w:numId w:val="32"/>
              </w:numPr>
              <w:spacing w:before="0" w:beforeAutospacing="0" w:after="0" w:afterAutospacing="0"/>
              <w:ind w:left="1080" w:firstLine="0"/>
              <w:textAlignment w:val="baseline"/>
              <w:rPr>
                <w:sz w:val="20"/>
                <w:szCs w:val="20"/>
              </w:rPr>
            </w:pPr>
            <w:r w:rsidRPr="007424E0">
              <w:rPr>
                <w:rStyle w:val="normaltextrun"/>
                <w:color w:val="000000"/>
                <w:sz w:val="20"/>
                <w:szCs w:val="20"/>
              </w:rPr>
              <w:t>Low VOC interior wall/ceiling/finishing</w:t>
            </w:r>
            <w:r w:rsidRPr="007424E0">
              <w:rPr>
                <w:rStyle w:val="eop"/>
                <w:color w:val="000000"/>
                <w:sz w:val="20"/>
                <w:szCs w:val="20"/>
              </w:rPr>
              <w:t> </w:t>
            </w:r>
          </w:p>
          <w:p w14:paraId="579FB4B3" w14:textId="77777777" w:rsidR="00B24E0A" w:rsidRPr="007424E0" w:rsidRDefault="00B24E0A" w:rsidP="000F6D48">
            <w:pPr>
              <w:pStyle w:val="paragraph"/>
              <w:numPr>
                <w:ilvl w:val="0"/>
                <w:numId w:val="33"/>
              </w:numPr>
              <w:spacing w:before="0" w:beforeAutospacing="0" w:after="0" w:afterAutospacing="0"/>
              <w:ind w:left="1080" w:firstLine="0"/>
              <w:textAlignment w:val="baseline"/>
              <w:rPr>
                <w:sz w:val="20"/>
                <w:szCs w:val="20"/>
              </w:rPr>
            </w:pPr>
            <w:r w:rsidRPr="007424E0">
              <w:rPr>
                <w:rStyle w:val="normaltextrun"/>
                <w:color w:val="000000"/>
                <w:sz w:val="20"/>
                <w:szCs w:val="20"/>
              </w:rPr>
              <w:t>Energy STAR certified appliances</w:t>
            </w:r>
            <w:r w:rsidRPr="007424E0">
              <w:rPr>
                <w:rStyle w:val="eop"/>
                <w:color w:val="000000"/>
                <w:sz w:val="20"/>
                <w:szCs w:val="20"/>
              </w:rPr>
              <w:t> </w:t>
            </w:r>
          </w:p>
          <w:p w14:paraId="24E40D1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5BD82CC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F3B02A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(Threshold) Building Sustainability, Sustainability Standards</w:t>
            </w:r>
            <w:r w:rsidRPr="007424E0">
              <w:rPr>
                <w:rStyle w:val="normaltextrun"/>
                <w:sz w:val="20"/>
                <w:szCs w:val="20"/>
              </w:rPr>
              <w:t xml:space="preserve"> states that “all dwelling units at all projects must comply with the requirements of this section. Historic properties may apply for a waiver when compliance means loss of historic character-defining features and finishes.”</w:t>
            </w:r>
            <w:r w:rsidRPr="007424E0">
              <w:rPr>
                <w:rStyle w:val="eop"/>
                <w:sz w:val="20"/>
                <w:szCs w:val="20"/>
              </w:rPr>
              <w:t> </w:t>
            </w:r>
          </w:p>
        </w:tc>
      </w:tr>
      <w:tr w:rsidR="00B24E0A" w:rsidRPr="007424E0" w14:paraId="394FBD63" w14:textId="77777777" w:rsidTr="64301FE8">
        <w:trPr>
          <w:jc w:val="center"/>
        </w:trPr>
        <w:tc>
          <w:tcPr>
            <w:tcW w:w="1697" w:type="dxa"/>
            <w:shd w:val="clear" w:color="auto" w:fill="auto"/>
            <w:tcMar>
              <w:top w:w="72" w:type="dxa"/>
              <w:left w:w="115" w:type="dxa"/>
              <w:bottom w:w="72" w:type="dxa"/>
              <w:right w:w="115" w:type="dxa"/>
            </w:tcMar>
            <w:vAlign w:val="center"/>
          </w:tcPr>
          <w:p w14:paraId="10A5557E"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31CD893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3515863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5CA4B7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0CBDCE27" w14:textId="77777777" w:rsidR="00B24E0A" w:rsidRPr="007424E0" w:rsidRDefault="00B24E0A"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689A714D" w14:textId="77777777" w:rsidR="00B24E0A" w:rsidRPr="007424E0" w:rsidRDefault="00B24E0A" w:rsidP="000F6D48">
            <w:pPr>
              <w:contextualSpacing/>
              <w:rPr>
                <w:rFonts w:ascii="Times New Roman" w:hAnsi="Times New Roman" w:cs="Times New Roman"/>
                <w:b/>
                <w:bCs/>
                <w:sz w:val="20"/>
                <w:szCs w:val="20"/>
              </w:rPr>
            </w:pPr>
          </w:p>
          <w:p w14:paraId="07F98D9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Q22_0503_01a</w:t>
            </w:r>
          </w:p>
          <w:p w14:paraId="0BB97B94" w14:textId="77777777" w:rsidR="00B24E0A" w:rsidRPr="007424E0" w:rsidRDefault="00B24E0A" w:rsidP="000F6D48">
            <w:pPr>
              <w:rPr>
                <w:rFonts w:ascii="Times New Roman" w:eastAsia="Times New Roman" w:hAnsi="Times New Roman" w:cs="Times New Roman"/>
                <w:color w:val="000000"/>
                <w:sz w:val="20"/>
                <w:szCs w:val="20"/>
              </w:rPr>
            </w:pPr>
            <w:r w:rsidRPr="007424E0">
              <w:rPr>
                <w:rFonts w:ascii="Times New Roman" w:eastAsia="Times New Roman" w:hAnsi="Times New Roman" w:cs="Times New Roman"/>
                <w:color w:val="000000"/>
                <w:sz w:val="20"/>
                <w:szCs w:val="20"/>
              </w:rPr>
              <w:t>Can applicants submit evidence of more than one business that would qualify for points in a particular category? For example, if there are two restaurants within a similar radius of our site, can we submit information for each? We realize only one could ultimately be counted, but in this current environment we are concerned about the possibility that one would have to shut its doors by the time DCA conducted its review.</w:t>
            </w:r>
          </w:p>
          <w:p w14:paraId="65C68633" w14:textId="77777777" w:rsidR="00B24E0A" w:rsidRPr="007424E0" w:rsidRDefault="00B24E0A" w:rsidP="000F6D48">
            <w:pPr>
              <w:rPr>
                <w:rFonts w:ascii="Times New Roman" w:eastAsia="Times New Roman" w:hAnsi="Times New Roman" w:cs="Times New Roman"/>
                <w:color w:val="000000"/>
                <w:sz w:val="20"/>
                <w:szCs w:val="20"/>
              </w:rPr>
            </w:pPr>
          </w:p>
          <w:p w14:paraId="0C173D87"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72A02634" w14:textId="77777777" w:rsidR="00B24E0A" w:rsidRPr="007424E0" w:rsidRDefault="00B24E0A"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DCA provided the following guidance for a similar question during the 2021 9% Competitive Round (see 2021 Q&amp;A </w:t>
            </w:r>
            <w:r w:rsidRPr="007424E0">
              <w:rPr>
                <w:rFonts w:ascii="Times New Roman" w:hAnsi="Times New Roman" w:cs="Times New Roman"/>
                <w:b/>
                <w:bCs/>
                <w:sz w:val="20"/>
                <w:szCs w:val="20"/>
              </w:rPr>
              <w:t>Q0201_06</w:t>
            </w:r>
            <w:r w:rsidRPr="007424E0">
              <w:rPr>
                <w:rFonts w:ascii="Times New Roman" w:hAnsi="Times New Roman" w:cs="Times New Roman"/>
                <w:sz w:val="20"/>
                <w:szCs w:val="20"/>
              </w:rPr>
              <w:t>). This guidance still holds for purposes of the 2022 9% Competitive Round:</w:t>
            </w:r>
          </w:p>
          <w:p w14:paraId="04E681A5" w14:textId="77777777" w:rsidR="00B24E0A" w:rsidRPr="007424E0" w:rsidRDefault="00B24E0A" w:rsidP="000F6D48">
            <w:pPr>
              <w:contextualSpacing/>
              <w:rPr>
                <w:rFonts w:ascii="Times New Roman" w:hAnsi="Times New Roman" w:cs="Times New Roman"/>
                <w:b/>
                <w:bCs/>
                <w:sz w:val="20"/>
                <w:szCs w:val="20"/>
              </w:rPr>
            </w:pPr>
          </w:p>
          <w:p w14:paraId="1A084806" w14:textId="77777777" w:rsidR="00B24E0A" w:rsidRPr="007424E0" w:rsidRDefault="00B24E0A" w:rsidP="000F6D48">
            <w:pPr>
              <w:ind w:left="720"/>
              <w:rPr>
                <w:rFonts w:ascii="Times New Roman" w:hAnsi="Times New Roman" w:cs="Times New Roman"/>
                <w:sz w:val="20"/>
                <w:szCs w:val="20"/>
              </w:rPr>
            </w:pPr>
            <w:r w:rsidRPr="007424E0">
              <w:rPr>
                <w:rFonts w:ascii="Times New Roman" w:hAnsi="Times New Roman" w:cs="Times New Roman"/>
                <w:sz w:val="20"/>
                <w:szCs w:val="20"/>
              </w:rPr>
              <w:t>“An establishment that an applicant certifies is operational as of the Application Submission deadline...will qualify for points under this section. This certification is covered by the relevant clauses in the “Applicant Certification Letter” required for all applications and requires no separate actions specific to this section. Relevant clauses are below:</w:t>
            </w:r>
          </w:p>
          <w:p w14:paraId="4ABFC0AE" w14:textId="77777777" w:rsidR="00B24E0A" w:rsidRPr="007424E0" w:rsidRDefault="00B24E0A" w:rsidP="000F6D48">
            <w:pPr>
              <w:ind w:left="720"/>
              <w:rPr>
                <w:rFonts w:ascii="Times New Roman" w:hAnsi="Times New Roman" w:cs="Times New Roman"/>
                <w:i/>
                <w:sz w:val="20"/>
                <w:szCs w:val="20"/>
              </w:rPr>
            </w:pPr>
            <w:r w:rsidRPr="007424E0">
              <w:rPr>
                <w:rFonts w:ascii="Times New Roman" w:hAnsi="Times New Roman" w:cs="Times New Roman"/>
                <w:i/>
                <w:iCs/>
                <w:sz w:val="20"/>
                <w:szCs w:val="20"/>
              </w:rPr>
              <w:br/>
              <w:t>‘I understand that, in the event an allocation (or an allowance) for LIHTCs was obtained with false information supplied to the Georgia Department of Community Affairs ("DCA"), DCA will recapture the LIHTCs or request that the IRS deny tax credits to the Applicant entity.   Also, a supplier, including the developer or owner, who knowingly provides false information will be barred by DCA from program participation for a period of five (5) years from the date the false information was discovered, in accordance with a Memorandum of Understanding between the Internal Revenue Service and the Georgia Housing and Finance Authority.’</w:t>
            </w:r>
            <w:r w:rsidRPr="007424E0">
              <w:rPr>
                <w:rFonts w:ascii="Times New Roman" w:hAnsi="Times New Roman" w:cs="Times New Roman"/>
                <w:i/>
                <w:iCs/>
                <w:sz w:val="20"/>
                <w:szCs w:val="20"/>
              </w:rPr>
              <w:br/>
            </w:r>
            <w:r w:rsidRPr="007424E0">
              <w:rPr>
                <w:rFonts w:ascii="Times New Roman" w:hAnsi="Times New Roman" w:cs="Times New Roman"/>
                <w:i/>
                <w:iCs/>
                <w:sz w:val="20"/>
                <w:szCs w:val="20"/>
              </w:rPr>
              <w:br/>
              <w:t>‘I understand that any misrepresentations, which includes fraudulent, negligent, and/or innocent, in this Application or supporting documentation may result in a withdrawal of tax credits and/or HOME loan by DCA, my (and related parties) being barred from future program participation, and notification of the Internal Revenue Service and/or HUD.’</w:t>
            </w:r>
          </w:p>
        </w:tc>
      </w:tr>
      <w:tr w:rsidR="00B24E0A" w:rsidRPr="007424E0" w14:paraId="1C28FCE2" w14:textId="77777777" w:rsidTr="64301FE8">
        <w:trPr>
          <w:jc w:val="center"/>
        </w:trPr>
        <w:tc>
          <w:tcPr>
            <w:tcW w:w="1697" w:type="dxa"/>
            <w:shd w:val="clear" w:color="auto" w:fill="auto"/>
            <w:tcMar>
              <w:top w:w="72" w:type="dxa"/>
              <w:left w:w="115" w:type="dxa"/>
              <w:bottom w:w="72" w:type="dxa"/>
              <w:right w:w="115" w:type="dxa"/>
            </w:tcMar>
            <w:vAlign w:val="center"/>
          </w:tcPr>
          <w:p w14:paraId="43214134"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6DCF313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40A1110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7E1837E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02256F6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Q22_0510_15</w:t>
            </w:r>
            <w:r w:rsidRPr="007424E0">
              <w:rPr>
                <w:rFonts w:ascii="Times New Roman" w:eastAsia="Times New Roman" w:hAnsi="Times New Roman" w:cs="Times New Roman"/>
                <w:sz w:val="20"/>
                <w:szCs w:val="20"/>
              </w:rPr>
              <w:t> </w:t>
            </w:r>
          </w:p>
          <w:p w14:paraId="712EF41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I am having trouble figuring out how to get scoring information for a specific census tract. How can I get assistance for this? </w:t>
            </w:r>
            <w:r w:rsidRPr="007424E0">
              <w:rPr>
                <w:rFonts w:ascii="Times New Roman" w:eastAsia="Times New Roman" w:hAnsi="Times New Roman" w:cs="Times New Roman"/>
                <w:color w:val="242424"/>
                <w:sz w:val="20"/>
                <w:szCs w:val="20"/>
              </w:rPr>
              <w:t> </w:t>
            </w:r>
          </w:p>
          <w:p w14:paraId="315803D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898DB2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B1B2A0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242424"/>
                <w:sz w:val="20"/>
                <w:szCs w:val="20"/>
                <w:shd w:val="clear" w:color="auto" w:fill="FFFFFF"/>
              </w:rPr>
              <w:t>Please review </w:t>
            </w:r>
            <w:r w:rsidRPr="007424E0">
              <w:rPr>
                <w:rFonts w:ascii="Times New Roman" w:eastAsia="Times New Roman" w:hAnsi="Times New Roman" w:cs="Times New Roman"/>
                <w:b/>
                <w:bCs/>
                <w:color w:val="242424"/>
                <w:sz w:val="20"/>
                <w:szCs w:val="20"/>
                <w:shd w:val="clear" w:color="auto" w:fill="FFFFFF"/>
              </w:rPr>
              <w:t>Q22_0419_03</w:t>
            </w:r>
            <w:r w:rsidRPr="007424E0">
              <w:rPr>
                <w:rFonts w:ascii="Times New Roman" w:eastAsia="Times New Roman" w:hAnsi="Times New Roman" w:cs="Times New Roman"/>
                <w:color w:val="242424"/>
                <w:sz w:val="20"/>
                <w:szCs w:val="20"/>
                <w:shd w:val="clear" w:color="auto" w:fill="FFFFFF"/>
              </w:rPr>
              <w:t>. If you still are unable to confirm the information you're seeking for a specific census tract, please feel free to submit the census tract through our Q&amp;A survey (</w:t>
            </w:r>
            <w:hyperlink r:id="rId37" w:tgtFrame="_blank" w:history="1">
              <w:r w:rsidRPr="007424E0">
                <w:rPr>
                  <w:rFonts w:ascii="Times New Roman" w:eastAsia="Times New Roman" w:hAnsi="Times New Roman" w:cs="Times New Roman"/>
                  <w:color w:val="0563C1"/>
                  <w:sz w:val="20"/>
                  <w:szCs w:val="20"/>
                  <w:u w:val="single"/>
                  <w:shd w:val="clear" w:color="auto" w:fill="FFFFFF"/>
                </w:rPr>
                <w:t>click here</w:t>
              </w:r>
            </w:hyperlink>
            <w:r w:rsidRPr="007424E0">
              <w:rPr>
                <w:rFonts w:ascii="Times New Roman" w:eastAsia="Times New Roman" w:hAnsi="Times New Roman" w:cs="Times New Roman"/>
                <w:color w:val="242424"/>
                <w:sz w:val="20"/>
                <w:szCs w:val="20"/>
                <w:shd w:val="clear" w:color="auto" w:fill="FFFFFF"/>
              </w:rPr>
              <w:t>) with the issue you're having.</w:t>
            </w:r>
            <w:r w:rsidRPr="007424E0">
              <w:rPr>
                <w:rFonts w:ascii="Times New Roman" w:eastAsia="Times New Roman" w:hAnsi="Times New Roman" w:cs="Times New Roman"/>
                <w:color w:val="242424"/>
                <w:sz w:val="20"/>
                <w:szCs w:val="20"/>
              </w:rPr>
              <w:t> </w:t>
            </w:r>
          </w:p>
        </w:tc>
      </w:tr>
      <w:tr w:rsidR="00B24E0A" w:rsidRPr="007424E0" w14:paraId="59C0C3FA" w14:textId="77777777" w:rsidTr="64301FE8">
        <w:trPr>
          <w:jc w:val="center"/>
        </w:trPr>
        <w:tc>
          <w:tcPr>
            <w:tcW w:w="1697" w:type="dxa"/>
            <w:shd w:val="clear" w:color="auto" w:fill="auto"/>
            <w:tcMar>
              <w:top w:w="72" w:type="dxa"/>
              <w:left w:w="115" w:type="dxa"/>
              <w:bottom w:w="72" w:type="dxa"/>
              <w:right w:w="115" w:type="dxa"/>
            </w:tcMar>
            <w:vAlign w:val="center"/>
          </w:tcPr>
          <w:p w14:paraId="6B7A1A81"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5/16/22</w:t>
            </w:r>
          </w:p>
        </w:tc>
        <w:tc>
          <w:tcPr>
            <w:tcW w:w="2663" w:type="dxa"/>
            <w:shd w:val="clear" w:color="auto" w:fill="auto"/>
            <w:tcMar>
              <w:top w:w="72" w:type="dxa"/>
              <w:left w:w="115" w:type="dxa"/>
              <w:bottom w:w="72" w:type="dxa"/>
              <w:right w:w="115" w:type="dxa"/>
            </w:tcMar>
            <w:vAlign w:val="center"/>
          </w:tcPr>
          <w:p w14:paraId="4657ADB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2CB114A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071770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3BF0EC4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Q22_0429_02 </w:t>
            </w:r>
          </w:p>
          <w:p w14:paraId="24A5A01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If my application’s 2010 Census Tract is associated with multiple 2020 Census Tracts according to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posted to the DCA website on 4/20/22, may I claim points using any of the associated 2020 Census Tracts? </w:t>
            </w:r>
          </w:p>
          <w:p w14:paraId="00FA3CB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1AF8D79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77430F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No, applicants will not receive points related to a Census Tract that does not include the proposed development. Applicants are responsible for identifying their proposed development’s 2010 Census Tracts (where applicant is using 2018 or 2019 data) and 2020 Census Tracts (where applicable is using 2020 data). </w:t>
            </w:r>
          </w:p>
          <w:p w14:paraId="1F869EE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0A89C93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A 2010 Tract may be associated with multiple 2020 Tracts, and vice versa, as some 2010 Tracts were split into multiple 2020 Tracts, and other 2010 Tracts were combined into one 2020 Tract. The </w:t>
            </w:r>
            <w:r w:rsidRPr="007424E0">
              <w:rPr>
                <w:rFonts w:ascii="Times New Roman" w:eastAsia="Times New Roman" w:hAnsi="Times New Roman" w:cs="Times New Roman"/>
                <w:i/>
                <w:iCs/>
                <w:color w:val="000000"/>
                <w:sz w:val="20"/>
                <w:szCs w:val="20"/>
              </w:rPr>
              <w:t>2010 to 2020 Census Tract Relationship File</w:t>
            </w:r>
            <w:r w:rsidRPr="007424E0">
              <w:rPr>
                <w:rFonts w:ascii="Times New Roman" w:eastAsia="Times New Roman" w:hAnsi="Times New Roman" w:cs="Times New Roman"/>
                <w:color w:val="000000"/>
                <w:sz w:val="20"/>
                <w:szCs w:val="20"/>
              </w:rPr>
              <w:t xml:space="preserve"> is solely intended to assist applicants in understanding how Census Tracts have changed from 2010 to 2020 and may not be used to claim points for a Census Tract which does not include the proposed development. </w:t>
            </w:r>
          </w:p>
          <w:p w14:paraId="62F86A7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w:t>
            </w:r>
          </w:p>
          <w:p w14:paraId="6F1A29C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color w:val="000000"/>
                <w:sz w:val="20"/>
                <w:szCs w:val="20"/>
              </w:rPr>
              <w:t xml:space="preserve">DCA has also added “2010 Census Tracts” and “2020 Census Tracts” layers to the </w:t>
            </w:r>
            <w:r w:rsidRPr="007424E0">
              <w:rPr>
                <w:rFonts w:ascii="Times New Roman" w:eastAsia="Times New Roman" w:hAnsi="Times New Roman" w:cs="Times New Roman"/>
                <w:i/>
                <w:iCs/>
                <w:color w:val="000000"/>
                <w:sz w:val="20"/>
                <w:szCs w:val="20"/>
              </w:rPr>
              <w:t xml:space="preserve">Housing Tax Credit Properties Map </w:t>
            </w:r>
            <w:r w:rsidRPr="007424E0">
              <w:rPr>
                <w:rFonts w:ascii="Times New Roman" w:eastAsia="Times New Roman" w:hAnsi="Times New Roman" w:cs="Times New Roman"/>
                <w:color w:val="000000"/>
                <w:sz w:val="20"/>
                <w:szCs w:val="20"/>
              </w:rPr>
              <w:t>posted to the 2022 QAP Scoring Documents and Data page of the DCA website (</w:t>
            </w:r>
            <w:hyperlink r:id="rId38" w:tgtFrame="_blank" w:history="1">
              <w:r w:rsidRPr="007424E0">
                <w:rPr>
                  <w:rFonts w:ascii="Times New Roman" w:eastAsia="Times New Roman" w:hAnsi="Times New Roman" w:cs="Times New Roman"/>
                  <w:color w:val="0563C1"/>
                  <w:sz w:val="20"/>
                  <w:szCs w:val="20"/>
                  <w:u w:val="single"/>
                </w:rPr>
                <w:t>click here</w:t>
              </w:r>
            </w:hyperlink>
            <w:r w:rsidRPr="007424E0">
              <w:rPr>
                <w:rFonts w:ascii="Times New Roman" w:eastAsia="Times New Roman" w:hAnsi="Times New Roman" w:cs="Times New Roman"/>
                <w:color w:val="000000"/>
                <w:sz w:val="20"/>
                <w:szCs w:val="20"/>
              </w:rPr>
              <w:t xml:space="preserve">), allowing applicants to identify their proposed development’s Census Tract by entering the property location in the search bar. See the response to question </w:t>
            </w:r>
            <w:r w:rsidRPr="007424E0">
              <w:rPr>
                <w:rFonts w:ascii="Times New Roman" w:eastAsia="Times New Roman" w:hAnsi="Times New Roman" w:cs="Times New Roman"/>
                <w:b/>
                <w:bCs/>
                <w:color w:val="000000"/>
                <w:sz w:val="20"/>
                <w:szCs w:val="20"/>
              </w:rPr>
              <w:t>Q22_0419_03</w:t>
            </w:r>
            <w:r w:rsidRPr="007424E0">
              <w:rPr>
                <w:rFonts w:ascii="Times New Roman" w:eastAsia="Times New Roman" w:hAnsi="Times New Roman" w:cs="Times New Roman"/>
                <w:color w:val="000000"/>
                <w:sz w:val="20"/>
                <w:szCs w:val="20"/>
              </w:rPr>
              <w:t xml:space="preserve"> added to the </w:t>
            </w:r>
            <w:r w:rsidRPr="007424E0">
              <w:rPr>
                <w:rFonts w:ascii="Times New Roman" w:eastAsia="Times New Roman" w:hAnsi="Times New Roman" w:cs="Times New Roman"/>
                <w:i/>
                <w:iCs/>
                <w:color w:val="000000"/>
                <w:sz w:val="20"/>
                <w:szCs w:val="20"/>
              </w:rPr>
              <w:t>Q&amp;A Instructions and DCA Responses</w:t>
            </w:r>
            <w:r w:rsidRPr="007424E0">
              <w:rPr>
                <w:rFonts w:ascii="Times New Roman" w:eastAsia="Times New Roman" w:hAnsi="Times New Roman" w:cs="Times New Roman"/>
                <w:color w:val="000000"/>
                <w:sz w:val="20"/>
                <w:szCs w:val="20"/>
              </w:rPr>
              <w:t xml:space="preserve"> document on 4/21/22 for detailed instructions. </w:t>
            </w:r>
          </w:p>
        </w:tc>
      </w:tr>
      <w:tr w:rsidR="00B24E0A" w:rsidRPr="007424E0" w14:paraId="407DC7E9" w14:textId="77777777" w:rsidTr="64301FE8">
        <w:trPr>
          <w:jc w:val="center"/>
        </w:trPr>
        <w:tc>
          <w:tcPr>
            <w:tcW w:w="1697" w:type="dxa"/>
            <w:shd w:val="clear" w:color="auto" w:fill="auto"/>
            <w:tcMar>
              <w:top w:w="72" w:type="dxa"/>
              <w:left w:w="115" w:type="dxa"/>
              <w:bottom w:w="72" w:type="dxa"/>
              <w:right w:w="115" w:type="dxa"/>
            </w:tcMar>
            <w:vAlign w:val="center"/>
          </w:tcPr>
          <w:p w14:paraId="532B3931"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C3DF1C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2F723FF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D0D595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tc>
        <w:tc>
          <w:tcPr>
            <w:tcW w:w="9585" w:type="dxa"/>
            <w:shd w:val="clear" w:color="auto" w:fill="auto"/>
            <w:tcMar>
              <w:top w:w="72" w:type="dxa"/>
              <w:left w:w="115" w:type="dxa"/>
              <w:bottom w:w="72" w:type="dxa"/>
              <w:right w:w="115" w:type="dxa"/>
            </w:tcMar>
            <w:vAlign w:val="center"/>
          </w:tcPr>
          <w:p w14:paraId="14298B0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Q22_0426_03</w:t>
            </w:r>
            <w:r w:rsidRPr="007424E0">
              <w:rPr>
                <w:rStyle w:val="eop"/>
                <w:sz w:val="20"/>
                <w:szCs w:val="20"/>
              </w:rPr>
              <w:t> </w:t>
            </w:r>
          </w:p>
          <w:p w14:paraId="18C6F09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How/where do we find the DCA published utility allowances that should be used in the 2022 applications? </w:t>
            </w:r>
            <w:r w:rsidRPr="007424E0">
              <w:rPr>
                <w:rStyle w:val="eop"/>
                <w:sz w:val="20"/>
                <w:szCs w:val="20"/>
              </w:rPr>
              <w:t> </w:t>
            </w:r>
          </w:p>
          <w:p w14:paraId="2307DBE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F8BA54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2B505A6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See </w:t>
            </w:r>
            <w:r w:rsidRPr="007424E0">
              <w:rPr>
                <w:rStyle w:val="normaltextrun"/>
                <w:b/>
                <w:bCs/>
                <w:sz w:val="20"/>
                <w:szCs w:val="20"/>
              </w:rPr>
              <w:t xml:space="preserve">(Threshold) Project Feasibility, Viability Analysis &amp; Conformance with Plan, Operating Utility Allowance (UA) </w:t>
            </w:r>
            <w:r w:rsidRPr="007424E0">
              <w:rPr>
                <w:rStyle w:val="normaltextrun"/>
                <w:sz w:val="20"/>
                <w:szCs w:val="20"/>
              </w:rPr>
              <w:t xml:space="preserve">and the </w:t>
            </w:r>
            <w:r w:rsidRPr="007424E0">
              <w:rPr>
                <w:rStyle w:val="normaltextrun"/>
                <w:i/>
                <w:iCs/>
                <w:sz w:val="20"/>
                <w:szCs w:val="20"/>
              </w:rPr>
              <w:t>DCA Utility Allowance Map</w:t>
            </w:r>
            <w:r w:rsidRPr="007424E0">
              <w:rPr>
                <w:rStyle w:val="normaltextrun"/>
                <w:sz w:val="20"/>
                <w:szCs w:val="20"/>
              </w:rPr>
              <w:t xml:space="preserve"> to determine which method(s) and Utility Allowance schedule(s) applies to your application. </w:t>
            </w:r>
            <w:r w:rsidRPr="007424E0">
              <w:rPr>
                <w:rStyle w:val="eop"/>
                <w:sz w:val="20"/>
                <w:szCs w:val="20"/>
              </w:rPr>
              <w:t> </w:t>
            </w:r>
          </w:p>
          <w:p w14:paraId="44A8F18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0463577"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The </w:t>
            </w:r>
            <w:r w:rsidRPr="007424E0">
              <w:rPr>
                <w:rStyle w:val="normaltextrun"/>
                <w:i/>
                <w:iCs/>
                <w:sz w:val="20"/>
                <w:szCs w:val="20"/>
              </w:rPr>
              <w:t>DCA Utility Allowance Map</w:t>
            </w:r>
            <w:r w:rsidRPr="007424E0">
              <w:rPr>
                <w:rStyle w:val="normaltextrun"/>
                <w:sz w:val="20"/>
                <w:szCs w:val="20"/>
              </w:rPr>
              <w:t xml:space="preserve"> and </w:t>
            </w:r>
            <w:r w:rsidRPr="007424E0">
              <w:rPr>
                <w:rStyle w:val="normaltextrun"/>
                <w:i/>
                <w:iCs/>
                <w:sz w:val="20"/>
                <w:szCs w:val="20"/>
              </w:rPr>
              <w:t>DCA Utility Allowance Schedule</w:t>
            </w:r>
            <w:r w:rsidRPr="007424E0">
              <w:rPr>
                <w:rStyle w:val="normaltextrun"/>
                <w:sz w:val="20"/>
                <w:szCs w:val="20"/>
              </w:rPr>
              <w:t xml:space="preserve"> are posted to the Rental Housing Development – Compliance Monitoring page of the DCA website (</w:t>
            </w:r>
            <w:hyperlink r:id="rId39" w:history="1">
              <w:r w:rsidRPr="007424E0">
                <w:rPr>
                  <w:rStyle w:val="Hyperlink"/>
                  <w:sz w:val="20"/>
                  <w:szCs w:val="20"/>
                </w:rPr>
                <w:t>click here</w:t>
              </w:r>
            </w:hyperlink>
            <w:r w:rsidRPr="007424E0">
              <w:rPr>
                <w:rStyle w:val="normaltextrun"/>
                <w:sz w:val="20"/>
                <w:szCs w:val="20"/>
              </w:rPr>
              <w:t>).</w:t>
            </w:r>
          </w:p>
        </w:tc>
      </w:tr>
      <w:tr w:rsidR="00B24E0A" w:rsidRPr="007424E0" w14:paraId="341352F8" w14:textId="77777777" w:rsidTr="64301FE8">
        <w:trPr>
          <w:jc w:val="center"/>
        </w:trPr>
        <w:tc>
          <w:tcPr>
            <w:tcW w:w="1697" w:type="dxa"/>
            <w:shd w:val="clear" w:color="auto" w:fill="auto"/>
            <w:tcMar>
              <w:top w:w="72" w:type="dxa"/>
              <w:left w:w="115" w:type="dxa"/>
              <w:bottom w:w="72" w:type="dxa"/>
              <w:right w:w="115" w:type="dxa"/>
            </w:tcMar>
            <w:vAlign w:val="center"/>
          </w:tcPr>
          <w:p w14:paraId="346AF988"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06F39F9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2.02</w:t>
            </w:r>
          </w:p>
          <w:p w14:paraId="4B3F0F4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D399D9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Project Feasibility, Viability Analysis &amp; Conformance with Plan</w:t>
            </w:r>
          </w:p>
          <w:p w14:paraId="366057D1" w14:textId="77777777" w:rsidR="00B24E0A" w:rsidRPr="007424E0" w:rsidRDefault="00B24E0A" w:rsidP="000F6D48">
            <w:pPr>
              <w:rPr>
                <w:rFonts w:ascii="Times New Roman" w:hAnsi="Times New Roman" w:cs="Times New Roman"/>
                <w:sz w:val="20"/>
                <w:szCs w:val="20"/>
              </w:rPr>
            </w:pPr>
          </w:p>
          <w:p w14:paraId="2915C737" w14:textId="77777777" w:rsidR="00B24E0A" w:rsidRPr="007424E0" w:rsidRDefault="00B24E0A" w:rsidP="000F6D48">
            <w:pPr>
              <w:rPr>
                <w:rFonts w:ascii="Times New Roman" w:hAnsi="Times New Roman" w:cs="Times New Roman"/>
                <w:sz w:val="20"/>
                <w:szCs w:val="20"/>
              </w:rPr>
            </w:pPr>
          </w:p>
          <w:p w14:paraId="43885E1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3.04 Scoring; Deeper Targeting)</w:t>
            </w:r>
          </w:p>
        </w:tc>
        <w:tc>
          <w:tcPr>
            <w:tcW w:w="9585" w:type="dxa"/>
            <w:shd w:val="clear" w:color="auto" w:fill="auto"/>
            <w:tcMar>
              <w:top w:w="72" w:type="dxa"/>
              <w:left w:w="115" w:type="dxa"/>
              <w:bottom w:w="72" w:type="dxa"/>
              <w:right w:w="115" w:type="dxa"/>
            </w:tcMar>
            <w:vAlign w:val="center"/>
          </w:tcPr>
          <w:p w14:paraId="618ECC1B"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Question</w:t>
            </w:r>
            <w:r w:rsidRPr="007424E0">
              <w:rPr>
                <w:rStyle w:val="normaltextrun"/>
                <w:rFonts w:eastAsia="MS Mincho"/>
                <w:sz w:val="20"/>
                <w:szCs w:val="20"/>
              </w:rPr>
              <w:t xml:space="preserve">: </w:t>
            </w:r>
            <w:r w:rsidRPr="007424E0">
              <w:rPr>
                <w:rStyle w:val="normaltextrun"/>
                <w:rFonts w:eastAsia="MS Mincho"/>
                <w:b/>
                <w:bCs/>
                <w:sz w:val="20"/>
                <w:szCs w:val="20"/>
              </w:rPr>
              <w:t>Q22_0418_15</w:t>
            </w:r>
            <w:r w:rsidRPr="007424E0">
              <w:rPr>
                <w:rStyle w:val="eop"/>
                <w:rFonts w:eastAsia="MS Mincho"/>
                <w:sz w:val="20"/>
                <w:szCs w:val="20"/>
              </w:rPr>
              <w:t> </w:t>
            </w:r>
          </w:p>
          <w:p w14:paraId="3E391EA5"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Our proposed development plans to utilize the RAD/Section 18 blends opportunity for our rent structure. HUD does not provide a commitment for the non-RAD PBV HAP contract until all other financing is in place, including the tax credit award.</w:t>
            </w:r>
            <w:r w:rsidRPr="007424E0">
              <w:rPr>
                <w:rStyle w:val="eop"/>
                <w:rFonts w:eastAsia="MS Mincho"/>
                <w:sz w:val="20"/>
                <w:szCs w:val="20"/>
              </w:rPr>
              <w:t> </w:t>
            </w:r>
          </w:p>
          <w:p w14:paraId="30597CEE"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741A79E5"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How can applicants meet documentation requirements under the QAP for </w:t>
            </w:r>
            <w:r w:rsidRPr="007424E0">
              <w:rPr>
                <w:rStyle w:val="normaltextrun"/>
                <w:rFonts w:eastAsia="MS Mincho"/>
                <w:b/>
                <w:bCs/>
                <w:sz w:val="20"/>
                <w:szCs w:val="20"/>
              </w:rPr>
              <w:t>(Threshold Criteria) Project Feasibility</w:t>
            </w:r>
            <w:r w:rsidRPr="007424E0">
              <w:rPr>
                <w:rStyle w:val="normaltextrun"/>
                <w:rFonts w:eastAsia="MS Mincho"/>
                <w:sz w:val="20"/>
                <w:szCs w:val="20"/>
              </w:rPr>
              <w:t xml:space="preserve"> and </w:t>
            </w:r>
            <w:r w:rsidRPr="007424E0">
              <w:rPr>
                <w:rStyle w:val="normaltextrun"/>
                <w:rFonts w:eastAsia="MS Mincho"/>
                <w:b/>
                <w:bCs/>
                <w:sz w:val="20"/>
                <w:szCs w:val="20"/>
              </w:rPr>
              <w:t>(Scoring Criteria) Deeper Targeting</w:t>
            </w:r>
            <w:r w:rsidRPr="007424E0">
              <w:rPr>
                <w:rStyle w:val="normaltextrun"/>
                <w:rFonts w:eastAsia="MS Mincho"/>
                <w:sz w:val="20"/>
                <w:szCs w:val="20"/>
              </w:rPr>
              <w:t xml:space="preserve"> in this circumstance?</w:t>
            </w:r>
            <w:r w:rsidRPr="007424E0">
              <w:rPr>
                <w:rStyle w:val="eop"/>
                <w:rFonts w:eastAsia="MS Mincho"/>
                <w:sz w:val="20"/>
                <w:szCs w:val="20"/>
              </w:rPr>
              <w:t> </w:t>
            </w:r>
          </w:p>
          <w:p w14:paraId="36C33250"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eop"/>
                <w:rFonts w:eastAsia="MS Mincho"/>
                <w:sz w:val="20"/>
                <w:szCs w:val="20"/>
              </w:rPr>
              <w:t> </w:t>
            </w:r>
          </w:p>
          <w:p w14:paraId="796E0518"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b/>
                <w:bCs/>
                <w:sz w:val="20"/>
                <w:szCs w:val="20"/>
              </w:rPr>
              <w:t>Answer</w:t>
            </w:r>
            <w:r w:rsidRPr="007424E0">
              <w:rPr>
                <w:rStyle w:val="normaltextrun"/>
                <w:rFonts w:eastAsia="MS Mincho"/>
                <w:sz w:val="20"/>
                <w:szCs w:val="20"/>
              </w:rPr>
              <w:t>: </w:t>
            </w:r>
            <w:r w:rsidRPr="007424E0">
              <w:rPr>
                <w:rStyle w:val="eop"/>
                <w:rFonts w:eastAsia="MS Mincho"/>
                <w:sz w:val="20"/>
                <w:szCs w:val="20"/>
              </w:rPr>
              <w:t> </w:t>
            </w:r>
          </w:p>
          <w:p w14:paraId="0CC6685A" w14:textId="77777777" w:rsidR="00B24E0A" w:rsidRPr="007424E0" w:rsidRDefault="00B24E0A" w:rsidP="000F6D48">
            <w:pPr>
              <w:pStyle w:val="paragraph"/>
              <w:spacing w:before="0" w:beforeAutospacing="0" w:after="0" w:afterAutospacing="0"/>
              <w:textAlignment w:val="baseline"/>
              <w:rPr>
                <w:rFonts w:eastAsia="MS Mincho"/>
                <w:sz w:val="20"/>
                <w:szCs w:val="20"/>
              </w:rPr>
            </w:pPr>
            <w:r w:rsidRPr="007424E0">
              <w:rPr>
                <w:rStyle w:val="normaltextrun"/>
                <w:rFonts w:eastAsia="MS Mincho"/>
                <w:sz w:val="20"/>
                <w:szCs w:val="20"/>
              </w:rPr>
              <w:t xml:space="preserve">Applicants can submit the following documentation for purposes of both </w:t>
            </w:r>
            <w:r w:rsidRPr="007424E0">
              <w:rPr>
                <w:rStyle w:val="normaltextrun"/>
                <w:rFonts w:eastAsia="MS Mincho"/>
                <w:b/>
                <w:bCs/>
                <w:sz w:val="20"/>
                <w:szCs w:val="20"/>
              </w:rPr>
              <w:t>Threshold</w:t>
            </w:r>
            <w:r w:rsidRPr="007424E0">
              <w:rPr>
                <w:rStyle w:val="normaltextrun"/>
                <w:rFonts w:eastAsia="MS Mincho"/>
                <w:sz w:val="20"/>
                <w:szCs w:val="20"/>
              </w:rPr>
              <w:t xml:space="preserve"> and </w:t>
            </w:r>
            <w:r w:rsidRPr="007424E0">
              <w:rPr>
                <w:rStyle w:val="normaltextrun"/>
                <w:rFonts w:eastAsia="MS Mincho"/>
                <w:b/>
                <w:bCs/>
                <w:sz w:val="20"/>
                <w:szCs w:val="20"/>
              </w:rPr>
              <w:t>Scoring</w:t>
            </w:r>
            <w:r w:rsidRPr="007424E0">
              <w:rPr>
                <w:rStyle w:val="normaltextrun"/>
                <w:rFonts w:eastAsia="MS Mincho"/>
                <w:sz w:val="20"/>
                <w:szCs w:val="20"/>
              </w:rPr>
              <w:t>:</w:t>
            </w:r>
            <w:r w:rsidRPr="007424E0">
              <w:rPr>
                <w:rStyle w:val="scxw127031168"/>
                <w:rFonts w:eastAsia="MS Mincho"/>
                <w:sz w:val="20"/>
                <w:szCs w:val="20"/>
              </w:rPr>
              <w:t> </w:t>
            </w:r>
            <w:r w:rsidRPr="007424E0">
              <w:rPr>
                <w:rFonts w:eastAsia="MS Mincho"/>
                <w:sz w:val="20"/>
                <w:szCs w:val="20"/>
              </w:rPr>
              <w:br/>
            </w:r>
            <w:r w:rsidRPr="007424E0">
              <w:rPr>
                <w:rStyle w:val="eop"/>
                <w:rFonts w:eastAsia="MS Mincho"/>
                <w:sz w:val="20"/>
                <w:szCs w:val="20"/>
              </w:rPr>
              <w:t> </w:t>
            </w:r>
          </w:p>
          <w:p w14:paraId="329DF746" w14:textId="77777777" w:rsidR="00B24E0A" w:rsidRPr="007424E0" w:rsidRDefault="00B24E0A" w:rsidP="000F6D48">
            <w:pPr>
              <w:pStyle w:val="paragraph"/>
              <w:numPr>
                <w:ilvl w:val="0"/>
                <w:numId w:val="2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A signed letter from HUD confirming that the development will be eligible for the RAD/Section 18 blends rent structure, pending a review of the overall financing plan.</w:t>
            </w:r>
            <w:r w:rsidRPr="007424E0">
              <w:rPr>
                <w:rStyle w:val="eop"/>
                <w:rFonts w:eastAsia="MS Mincho"/>
                <w:sz w:val="20"/>
                <w:szCs w:val="20"/>
              </w:rPr>
              <w:t> </w:t>
            </w:r>
          </w:p>
          <w:p w14:paraId="71240335" w14:textId="77777777" w:rsidR="00B24E0A" w:rsidRPr="007424E0" w:rsidRDefault="00B24E0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HUD has provided to DCA a template letter that applicants can send to HUD for signature confirming HUD’s approval of the development, the PHA’s and Owner’s decision regarding how many years the anticipated PBV contract will last, etc. This letter can be submitted as documentation in the application. </w:t>
            </w:r>
            <w:r w:rsidRPr="007424E0">
              <w:rPr>
                <w:rStyle w:val="eop"/>
                <w:rFonts w:eastAsia="MS Mincho"/>
                <w:sz w:val="20"/>
                <w:szCs w:val="20"/>
              </w:rPr>
              <w:t> </w:t>
            </w:r>
          </w:p>
          <w:p w14:paraId="0D9BECBC" w14:textId="77777777" w:rsidR="00B24E0A" w:rsidRPr="007424E0" w:rsidRDefault="00B24E0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The template HUD letter is posted to the DCA website under: “Application Manuals, Forms, and Scoring Documents” / “Other Manuals and forms” / “Template HUD Letter for RAD-Section 18 Blends” (</w:t>
            </w:r>
            <w:hyperlink r:id="rId40" w:tgtFrame="_blank" w:history="1">
              <w:r w:rsidRPr="007424E0">
                <w:rPr>
                  <w:rStyle w:val="normaltextrun"/>
                  <w:rFonts w:eastAsia="MS Mincho"/>
                  <w:color w:val="0563C1"/>
                  <w:sz w:val="20"/>
                  <w:szCs w:val="20"/>
                  <w:u w:val="single"/>
                </w:rPr>
                <w:t>click here</w:t>
              </w:r>
            </w:hyperlink>
            <w:r w:rsidRPr="007424E0">
              <w:rPr>
                <w:rStyle w:val="normaltextrun"/>
                <w:rFonts w:eastAsia="MS Mincho"/>
                <w:sz w:val="20"/>
                <w:szCs w:val="20"/>
              </w:rPr>
              <w:t>). </w:t>
            </w:r>
            <w:r w:rsidRPr="007424E0">
              <w:rPr>
                <w:rStyle w:val="eop"/>
                <w:rFonts w:eastAsia="MS Mincho"/>
                <w:sz w:val="20"/>
                <w:szCs w:val="20"/>
              </w:rPr>
              <w:t> </w:t>
            </w:r>
          </w:p>
          <w:p w14:paraId="31D5B21A" w14:textId="77777777" w:rsidR="00B24E0A" w:rsidRPr="007424E0" w:rsidRDefault="00B24E0A" w:rsidP="000F6D48">
            <w:pPr>
              <w:pStyle w:val="paragraph"/>
              <w:numPr>
                <w:ilvl w:val="0"/>
                <w:numId w:val="29"/>
              </w:numPr>
              <w:spacing w:before="0" w:beforeAutospacing="0" w:after="0" w:afterAutospacing="0"/>
              <w:ind w:left="1800" w:firstLine="0"/>
              <w:textAlignment w:val="baseline"/>
              <w:rPr>
                <w:rFonts w:eastAsia="MS Mincho"/>
                <w:sz w:val="20"/>
                <w:szCs w:val="20"/>
              </w:rPr>
            </w:pPr>
            <w:r w:rsidRPr="007424E0">
              <w:rPr>
                <w:rStyle w:val="normaltextrun"/>
                <w:rFonts w:eastAsia="MS Mincho"/>
                <w:sz w:val="20"/>
                <w:szCs w:val="20"/>
              </w:rPr>
              <w:t>Please note that HUD requires at least 7 business days to sign and return a PDF copy of the letter. </w:t>
            </w:r>
            <w:r w:rsidRPr="007424E0">
              <w:rPr>
                <w:rStyle w:val="eop"/>
                <w:rFonts w:eastAsia="MS Mincho"/>
                <w:sz w:val="20"/>
                <w:szCs w:val="20"/>
              </w:rPr>
              <w:t> </w:t>
            </w:r>
          </w:p>
          <w:p w14:paraId="6E1E660F" w14:textId="77777777" w:rsidR="00B24E0A" w:rsidRPr="007424E0" w:rsidRDefault="00B24E0A" w:rsidP="000F6D48">
            <w:pPr>
              <w:pStyle w:val="paragraph"/>
              <w:numPr>
                <w:ilvl w:val="0"/>
                <w:numId w:val="30"/>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Evidence from HUD’s website substantiating which Fair Market Rents (FMRs) are applicable to the proposed development. </w:t>
            </w:r>
            <w:r w:rsidRPr="007424E0">
              <w:rPr>
                <w:rStyle w:val="eop"/>
                <w:rFonts w:eastAsia="MS Mincho"/>
                <w:sz w:val="20"/>
                <w:szCs w:val="20"/>
              </w:rPr>
              <w:t> </w:t>
            </w:r>
          </w:p>
          <w:p w14:paraId="1F3E4CC1" w14:textId="77777777" w:rsidR="00B24E0A" w:rsidRPr="007424E0" w:rsidRDefault="00B24E0A" w:rsidP="000F6D48">
            <w:pPr>
              <w:pStyle w:val="paragraph"/>
              <w:numPr>
                <w:ilvl w:val="0"/>
                <w:numId w:val="31"/>
              </w:numPr>
              <w:spacing w:before="0" w:beforeAutospacing="0" w:after="0" w:afterAutospacing="0"/>
              <w:ind w:left="1080" w:firstLine="0"/>
              <w:textAlignment w:val="baseline"/>
              <w:rPr>
                <w:rStyle w:val="normaltextrun"/>
                <w:rFonts w:eastAsia="MS Mincho"/>
                <w:sz w:val="20"/>
                <w:szCs w:val="20"/>
              </w:rPr>
            </w:pPr>
            <w:r w:rsidRPr="007424E0">
              <w:rPr>
                <w:rStyle w:val="normaltextrun"/>
                <w:rFonts w:eastAsia="MS Mincho"/>
                <w:sz w:val="20"/>
                <w:szCs w:val="20"/>
              </w:rPr>
              <w:t>A brief description of how the rents in the Core Application are derived from the FMRs (e.g., the following statement would suffice: “Non-RAD PBV rents are based on 110% of the FMRs”). </w:t>
            </w:r>
            <w:r w:rsidRPr="007424E0">
              <w:rPr>
                <w:rStyle w:val="eop"/>
                <w:rFonts w:eastAsia="MS Mincho"/>
                <w:sz w:val="20"/>
                <w:szCs w:val="20"/>
              </w:rPr>
              <w:t> </w:t>
            </w:r>
          </w:p>
        </w:tc>
      </w:tr>
      <w:tr w:rsidR="00B24E0A" w:rsidRPr="007424E0" w14:paraId="189C2703" w14:textId="77777777" w:rsidTr="64301FE8">
        <w:trPr>
          <w:jc w:val="center"/>
        </w:trPr>
        <w:tc>
          <w:tcPr>
            <w:tcW w:w="1697" w:type="dxa"/>
            <w:shd w:val="clear" w:color="auto" w:fill="auto"/>
            <w:tcMar>
              <w:top w:w="72" w:type="dxa"/>
              <w:left w:w="115" w:type="dxa"/>
              <w:bottom w:w="72" w:type="dxa"/>
              <w:right w:w="115" w:type="dxa"/>
            </w:tcMar>
            <w:vAlign w:val="center"/>
          </w:tcPr>
          <w:p w14:paraId="6462B92D"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3A66DF5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2.12</w:t>
            </w:r>
          </w:p>
          <w:p w14:paraId="17921CD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B68311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Public Water/Sanitary Sewer</w:t>
            </w:r>
          </w:p>
        </w:tc>
        <w:tc>
          <w:tcPr>
            <w:tcW w:w="9585" w:type="dxa"/>
            <w:shd w:val="clear" w:color="auto" w:fill="auto"/>
            <w:tcMar>
              <w:top w:w="72" w:type="dxa"/>
              <w:left w:w="115" w:type="dxa"/>
              <w:bottom w:w="72" w:type="dxa"/>
              <w:right w:w="115" w:type="dxa"/>
            </w:tcMar>
            <w:vAlign w:val="center"/>
          </w:tcPr>
          <w:p w14:paraId="47308E9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Q22_0419_01</w:t>
            </w:r>
            <w:r w:rsidRPr="007424E0">
              <w:rPr>
                <w:rStyle w:val="eop"/>
                <w:sz w:val="20"/>
                <w:szCs w:val="20"/>
              </w:rPr>
              <w:t> </w:t>
            </w:r>
          </w:p>
          <w:p w14:paraId="2CDBBA2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In PUBLIC WATER/SANITARY SEWER under minimum documentation </w:t>
            </w:r>
            <w:r w:rsidRPr="007424E0">
              <w:rPr>
                <w:rStyle w:val="contextualspellingandgrammarerror"/>
                <w:rFonts w:eastAsiaTheme="majorEastAsia"/>
                <w:sz w:val="20"/>
                <w:szCs w:val="20"/>
              </w:rPr>
              <w:t>states :</w:t>
            </w:r>
            <w:r w:rsidRPr="007424E0">
              <w:rPr>
                <w:rStyle w:val="normaltextrun"/>
                <w:sz w:val="20"/>
                <w:szCs w:val="20"/>
              </w:rPr>
              <w:t xml:space="preserve"> ""Letter(s) of commitment from verifiable public water/sanitary sewer authority that includes project name, address, or parcel ID and confirms that utilities will be available.""||The 2022 QAP was modified to add ""of commitment"" implying that DCA is now requiring a commitment of water/sanitary sewer (W/S) availability from local W/S authorities.  Local W/S authorities, especially larger ones will not issue a ""commitment"" of availability of W/S services due to the time lag between the issuance of the letter and the issuance of building permits which can be 18-24 months.  ||A commitment is asking the local W/S authority to commit to availability at some point in the future which most authorities will not </w:t>
            </w:r>
            <w:r w:rsidRPr="007424E0">
              <w:rPr>
                <w:rStyle w:val="contextualspellingandgrammarerror"/>
                <w:rFonts w:eastAsiaTheme="majorEastAsia"/>
                <w:sz w:val="20"/>
                <w:szCs w:val="20"/>
              </w:rPr>
              <w:t>do.|</w:t>
            </w:r>
            <w:r w:rsidRPr="007424E0">
              <w:rPr>
                <w:rStyle w:val="normaltextrun"/>
                <w:sz w:val="20"/>
                <w:szCs w:val="20"/>
              </w:rPr>
              <w:t xml:space="preserve">|Historically, DCA has required W/S sewer availability letters which state required W/S infrastructure is available to the development </w:t>
            </w:r>
            <w:r w:rsidRPr="007424E0">
              <w:rPr>
                <w:rStyle w:val="contextualspellingandgrammarerror"/>
                <w:rFonts w:eastAsiaTheme="majorEastAsia"/>
                <w:sz w:val="20"/>
                <w:szCs w:val="20"/>
              </w:rPr>
              <w:t>site.|</w:t>
            </w:r>
            <w:r w:rsidRPr="007424E0">
              <w:rPr>
                <w:rStyle w:val="normaltextrun"/>
                <w:sz w:val="20"/>
                <w:szCs w:val="20"/>
              </w:rPr>
              <w:t xml:space="preserve">|Will letters that confirm W/S availability without language stating the letter is a commitment pass threshold in this </w:t>
            </w:r>
            <w:r w:rsidRPr="007424E0">
              <w:rPr>
                <w:rStyle w:val="contextualspellingandgrammarerror"/>
                <w:rFonts w:eastAsiaTheme="majorEastAsia"/>
                <w:sz w:val="20"/>
                <w:szCs w:val="20"/>
              </w:rPr>
              <w:t>section?|</w:t>
            </w:r>
            <w:r w:rsidRPr="007424E0">
              <w:rPr>
                <w:rStyle w:val="eop"/>
                <w:sz w:val="20"/>
                <w:szCs w:val="20"/>
              </w:rPr>
              <w:t> </w:t>
            </w:r>
          </w:p>
          <w:p w14:paraId="048269C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A21B75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A8249B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above-referenced edit, to include the word “commitment,” was not intended to substantively change this documentation requirement. </w:t>
            </w:r>
            <w:r w:rsidRPr="007424E0">
              <w:rPr>
                <w:rStyle w:val="eop"/>
                <w:sz w:val="20"/>
                <w:szCs w:val="20"/>
              </w:rPr>
              <w:t> </w:t>
            </w:r>
          </w:p>
          <w:p w14:paraId="13538AB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6FC502B"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(Threshold) Public Water/Sanitary Sewer</w:t>
            </w:r>
            <w:r w:rsidRPr="007424E0">
              <w:rPr>
                <w:rStyle w:val="normaltextrun"/>
                <w:sz w:val="20"/>
                <w:szCs w:val="20"/>
              </w:rPr>
              <w:t xml:space="preserve"> provides the following examples of the type of “letter(s) of commitment” that should be requested from the verifiable public water/sanitary sewer authority: “letters from public water/sanitary sewer authority, copies of easements necessary for water and sewer authorities to extend water and sewer to the property.”  Per this QAP section, “letters from the local public water and sewer authorities must document the availability of the existing public water and sewer service to the site”.  Therefore the “Letter(s) of commitment” as requested in minimum documentation refers to the documentation of the availability of existing public water and sanitary sewer.</w:t>
            </w:r>
          </w:p>
        </w:tc>
      </w:tr>
      <w:tr w:rsidR="00B24E0A" w:rsidRPr="007424E0" w14:paraId="095C3854" w14:textId="77777777" w:rsidTr="64301FE8">
        <w:trPr>
          <w:jc w:val="center"/>
        </w:trPr>
        <w:tc>
          <w:tcPr>
            <w:tcW w:w="1697" w:type="dxa"/>
            <w:shd w:val="clear" w:color="auto" w:fill="auto"/>
            <w:tcMar>
              <w:top w:w="72" w:type="dxa"/>
              <w:left w:w="115" w:type="dxa"/>
              <w:bottom w:w="72" w:type="dxa"/>
              <w:right w:w="115" w:type="dxa"/>
            </w:tcMar>
            <w:vAlign w:val="center"/>
          </w:tcPr>
          <w:p w14:paraId="39916A11"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1A9EEF1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5E45E6F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ABA8DB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21DC56B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Q22_0129_01</w:t>
            </w:r>
            <w:r w:rsidRPr="007424E0">
              <w:rPr>
                <w:rStyle w:val="eop"/>
                <w:sz w:val="20"/>
                <w:szCs w:val="20"/>
              </w:rPr>
              <w:t> </w:t>
            </w:r>
          </w:p>
          <w:p w14:paraId="1CF86AA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Regarding (</w:t>
            </w:r>
            <w:r w:rsidRPr="007424E0">
              <w:rPr>
                <w:rStyle w:val="normaltextrun"/>
                <w:b/>
                <w:bCs/>
                <w:sz w:val="20"/>
                <w:szCs w:val="20"/>
              </w:rPr>
              <w:t>Threshold) Building Sustainability, A. Sustainability Standards, 2. Measured duct and building envelope leakage</w:t>
            </w:r>
            <w:r w:rsidRPr="007424E0">
              <w:rPr>
                <w:rStyle w:val="normaltextrun"/>
                <w:sz w:val="20"/>
                <w:szCs w:val="20"/>
              </w:rPr>
              <w:t xml:space="preserve">, the QAP states that performance testing must be performed on a </w:t>
            </w:r>
            <w:r w:rsidRPr="007424E0">
              <w:rPr>
                <w:rStyle w:val="normaltextrun"/>
                <w:i/>
                <w:iCs/>
                <w:sz w:val="20"/>
                <w:szCs w:val="20"/>
              </w:rPr>
              <w:t>"sampling of units...utilizing RESNET-approved performance testing methodologies..."</w:t>
            </w:r>
            <w:r w:rsidRPr="007424E0">
              <w:rPr>
                <w:rStyle w:val="normaltextrun"/>
                <w:sz w:val="20"/>
                <w:szCs w:val="20"/>
              </w:rPr>
              <w:t>.</w:t>
            </w:r>
            <w:r w:rsidRPr="007424E0">
              <w:rPr>
                <w:rStyle w:val="eop"/>
                <w:sz w:val="20"/>
                <w:szCs w:val="20"/>
              </w:rPr>
              <w:t> </w:t>
            </w:r>
          </w:p>
          <w:p w14:paraId="012041E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D8D7F2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Does this mean the RESNET sampling procedures must be followed or just the procedures for individual unit testing?</w:t>
            </w:r>
            <w:r w:rsidRPr="007424E0">
              <w:rPr>
                <w:rStyle w:val="eop"/>
                <w:sz w:val="20"/>
                <w:szCs w:val="20"/>
              </w:rPr>
              <w:t> </w:t>
            </w:r>
          </w:p>
          <w:p w14:paraId="4853F08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573E7B6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1310DF89"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RESNET procedures must be followed for individual unit testing.  In the parenthesis within the same sentence, DCA defines the “sampling of units” to use as including “one of each unit type in its various configurations within the property”.</w:t>
            </w:r>
            <w:r w:rsidRPr="007424E0">
              <w:rPr>
                <w:rStyle w:val="eop"/>
                <w:sz w:val="20"/>
                <w:szCs w:val="20"/>
              </w:rPr>
              <w:t> </w:t>
            </w:r>
          </w:p>
        </w:tc>
      </w:tr>
      <w:tr w:rsidR="00B24E0A" w:rsidRPr="007424E0" w14:paraId="3FDF97BA" w14:textId="77777777" w:rsidTr="64301FE8">
        <w:trPr>
          <w:jc w:val="center"/>
        </w:trPr>
        <w:tc>
          <w:tcPr>
            <w:tcW w:w="1697" w:type="dxa"/>
            <w:shd w:val="clear" w:color="auto" w:fill="auto"/>
            <w:tcMar>
              <w:top w:w="72" w:type="dxa"/>
              <w:left w:w="115" w:type="dxa"/>
              <w:bottom w:w="72" w:type="dxa"/>
              <w:right w:w="115" w:type="dxa"/>
            </w:tcMar>
            <w:vAlign w:val="center"/>
          </w:tcPr>
          <w:p w14:paraId="31E9B2C7"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D7C41F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52FBEAD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56C030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3BBE1397"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Q22_0504_01</w:t>
            </w:r>
          </w:p>
          <w:p w14:paraId="06026A17"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w:t>
            </w:r>
            <w:r w:rsidRPr="007424E0">
              <w:rPr>
                <w:rFonts w:ascii="Times New Roman" w:eastAsia="Times New Roman" w:hAnsi="Times New Roman" w:cs="Times New Roman"/>
                <w:b/>
                <w:bCs/>
                <w:sz w:val="20"/>
                <w:szCs w:val="20"/>
              </w:rPr>
              <w:t>(Scoring) Desirable/Undesirable Activities, Undesirable/Inefficient Site Activities/Characteristics, Exceptions to Undesirable Deductions</w:t>
            </w:r>
            <w:r w:rsidRPr="007424E0">
              <w:rPr>
                <w:rFonts w:ascii="Times New Roman" w:eastAsia="Times New Roman" w:hAnsi="Times New Roman" w:cs="Times New Roman"/>
                <w:sz w:val="20"/>
                <w:szCs w:val="20"/>
              </w:rPr>
              <w:t>, what is the definition of the word “site control” in the below bullet point?</w:t>
            </w:r>
          </w:p>
          <w:p w14:paraId="25ACACDA" w14:textId="77777777" w:rsidR="00B24E0A" w:rsidRPr="007424E0" w:rsidRDefault="00B24E0A" w:rsidP="000F6D48">
            <w:pPr>
              <w:rPr>
                <w:rFonts w:ascii="Times New Roman" w:eastAsia="Times New Roman" w:hAnsi="Times New Roman" w:cs="Times New Roman"/>
                <w:sz w:val="20"/>
                <w:szCs w:val="20"/>
              </w:rPr>
            </w:pPr>
          </w:p>
          <w:p w14:paraId="6C6FFF62" w14:textId="77777777" w:rsidR="00B24E0A" w:rsidRPr="007424E0" w:rsidRDefault="00B24E0A" w:rsidP="000F6D48">
            <w:pPr>
              <w:pStyle w:val="ListParagraph"/>
              <w:numPr>
                <w:ilvl w:val="0"/>
                <w:numId w:val="27"/>
              </w:numPr>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Mitigation by the Applicant or a Local Government must be completed by the placed in-service date.</w:t>
            </w:r>
          </w:p>
          <w:p w14:paraId="1FA54ACA" w14:textId="77777777" w:rsidR="00B24E0A" w:rsidRPr="007424E0" w:rsidRDefault="00B24E0A" w:rsidP="000F6D48">
            <w:pPr>
              <w:pStyle w:val="ListParagraph"/>
              <w:numPr>
                <w:ilvl w:val="1"/>
                <w:numId w:val="27"/>
              </w:numPr>
              <w:rPr>
                <w:rFonts w:ascii="Times New Roman" w:eastAsia="Times New Roman" w:hAnsi="Times New Roman" w:cs="Times New Roman"/>
                <w:sz w:val="20"/>
                <w:szCs w:val="20"/>
              </w:rPr>
            </w:pPr>
            <w:r w:rsidRPr="007424E0">
              <w:rPr>
                <w:rFonts w:ascii="Times New Roman" w:eastAsia="Times New Roman" w:hAnsi="Times New Roman" w:cs="Times New Roman"/>
                <w:i/>
                <w:sz w:val="20"/>
                <w:szCs w:val="20"/>
              </w:rPr>
              <w:t>Applicants must provide documentation of the site control and resources to complete the mitigation.</w:t>
            </w:r>
          </w:p>
          <w:p w14:paraId="2332E859" w14:textId="77777777" w:rsidR="00B24E0A" w:rsidRPr="007424E0" w:rsidRDefault="00B24E0A" w:rsidP="000F6D48">
            <w:pPr>
              <w:rPr>
                <w:rFonts w:ascii="Times New Roman" w:eastAsia="Times New Roman" w:hAnsi="Times New Roman" w:cs="Times New Roman"/>
                <w:sz w:val="20"/>
                <w:szCs w:val="20"/>
              </w:rPr>
            </w:pPr>
          </w:p>
          <w:p w14:paraId="73086450"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3FD43EE" w14:textId="77777777" w:rsidR="00B24E0A" w:rsidRPr="007424E0" w:rsidRDefault="00B24E0A" w:rsidP="000F6D48">
            <w:p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Documentation of site control to complete the mitigation of an undesirable activity/characteristic should show either of the following: </w:t>
            </w:r>
          </w:p>
          <w:p w14:paraId="4623C678" w14:textId="77777777" w:rsidR="00B24E0A" w:rsidRPr="007424E0" w:rsidRDefault="00B24E0A" w:rsidP="000F6D48">
            <w:pPr>
              <w:pStyle w:val="ListParagraph"/>
              <w:numPr>
                <w:ilvl w:val="0"/>
                <w:numId w:val="27"/>
              </w:numPr>
              <w:rPr>
                <w:rFonts w:ascii="Times New Roman" w:eastAsia="Segoe UI" w:hAnsi="Times New Roman" w:cs="Times New Roman"/>
                <w:sz w:val="20"/>
                <w:szCs w:val="20"/>
              </w:rPr>
            </w:pPr>
            <w:r w:rsidRPr="007424E0">
              <w:rPr>
                <w:rFonts w:ascii="Times New Roman" w:eastAsia="Segoe UI" w:hAnsi="Times New Roman" w:cs="Times New Roman"/>
                <w:sz w:val="20"/>
                <w:szCs w:val="20"/>
              </w:rPr>
              <w:t xml:space="preserve">there is explicit authorization from the owner of the undesirable to perform the mitigation, or </w:t>
            </w:r>
          </w:p>
          <w:p w14:paraId="6581CE98" w14:textId="77777777" w:rsidR="00B24E0A" w:rsidRPr="007424E0" w:rsidRDefault="00B24E0A" w:rsidP="000F6D48">
            <w:pPr>
              <w:pStyle w:val="ListParagraph"/>
              <w:numPr>
                <w:ilvl w:val="0"/>
                <w:numId w:val="27"/>
              </w:numPr>
              <w:rPr>
                <w:rStyle w:val="normaltextrun"/>
                <w:rFonts w:ascii="Times New Roman" w:eastAsia="Segoe UI" w:hAnsi="Times New Roman" w:cs="Times New Roman"/>
                <w:sz w:val="20"/>
                <w:szCs w:val="20"/>
              </w:rPr>
            </w:pPr>
            <w:r w:rsidRPr="007424E0">
              <w:rPr>
                <w:rFonts w:ascii="Times New Roman" w:eastAsia="Segoe UI" w:hAnsi="Times New Roman" w:cs="Times New Roman"/>
                <w:sz w:val="20"/>
                <w:szCs w:val="20"/>
              </w:rPr>
              <w:t>there is a legal right for the entity performing the mitigation (e.g., Applicant, owner of the undesirable) to perform mitigation by the date(s) indicated in the QAP.</w:t>
            </w:r>
          </w:p>
        </w:tc>
      </w:tr>
      <w:tr w:rsidR="00B24E0A" w:rsidRPr="007424E0" w14:paraId="14000A7C" w14:textId="77777777" w:rsidTr="64301FE8">
        <w:trPr>
          <w:jc w:val="center"/>
        </w:trPr>
        <w:tc>
          <w:tcPr>
            <w:tcW w:w="1697" w:type="dxa"/>
            <w:shd w:val="clear" w:color="auto" w:fill="auto"/>
            <w:tcMar>
              <w:top w:w="72" w:type="dxa"/>
              <w:left w:w="115" w:type="dxa"/>
              <w:bottom w:w="72" w:type="dxa"/>
              <w:right w:w="115" w:type="dxa"/>
            </w:tcMar>
            <w:vAlign w:val="center"/>
          </w:tcPr>
          <w:p w14:paraId="7FCC93B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5/11/22</w:t>
            </w:r>
          </w:p>
        </w:tc>
        <w:tc>
          <w:tcPr>
            <w:tcW w:w="2663" w:type="dxa"/>
            <w:shd w:val="clear" w:color="auto" w:fill="auto"/>
            <w:tcMar>
              <w:top w:w="72" w:type="dxa"/>
              <w:left w:w="115" w:type="dxa"/>
              <w:bottom w:w="72" w:type="dxa"/>
              <w:right w:w="115" w:type="dxa"/>
            </w:tcMar>
            <w:vAlign w:val="center"/>
          </w:tcPr>
          <w:p w14:paraId="664C72F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1DE3DF6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9FD37B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124E8EF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Q22_0427_01</w:t>
            </w:r>
            <w:r w:rsidRPr="007424E0">
              <w:rPr>
                <w:rStyle w:val="eop"/>
                <w:sz w:val="20"/>
                <w:szCs w:val="20"/>
              </w:rPr>
              <w:t> </w:t>
            </w:r>
          </w:p>
          <w:p w14:paraId="6AD06C4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In </w:t>
            </w:r>
            <w:r w:rsidRPr="007424E0">
              <w:rPr>
                <w:rStyle w:val="normaltextrun"/>
                <w:b/>
                <w:bCs/>
                <w:sz w:val="20"/>
                <w:szCs w:val="20"/>
              </w:rPr>
              <w:t>(Scoring)</w:t>
            </w:r>
            <w:r w:rsidRPr="007424E0">
              <w:rPr>
                <w:rStyle w:val="normaltextrun"/>
                <w:sz w:val="20"/>
                <w:szCs w:val="20"/>
              </w:rPr>
              <w:t xml:space="preserve"> </w:t>
            </w:r>
            <w:r w:rsidRPr="007424E0">
              <w:rPr>
                <w:rStyle w:val="normaltextrun"/>
                <w:b/>
                <w:bCs/>
                <w:sz w:val="20"/>
                <w:szCs w:val="20"/>
              </w:rPr>
              <w:t>Quality Education Areas</w:t>
            </w:r>
            <w:r w:rsidRPr="007424E0">
              <w:rPr>
                <w:rStyle w:val="normaltextrun"/>
                <w:sz w:val="20"/>
                <w:szCs w:val="20"/>
              </w:rPr>
              <w:t>, school district maps showing the site location and full attendance zone boundaries, published by an official school district source, are required.  In past years for this scoring category, we provided attendance zone maps obtained from greatschools.org.  Is it acceptable to use the attendance zone boundary maps from greatschools.org?</w:t>
            </w:r>
            <w:r w:rsidRPr="007424E0">
              <w:rPr>
                <w:rStyle w:val="eop"/>
                <w:sz w:val="20"/>
                <w:szCs w:val="20"/>
              </w:rPr>
              <w:t> </w:t>
            </w:r>
          </w:p>
          <w:p w14:paraId="58D5EC7A"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1DDEFB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A413E4E"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Per this section in the 2022 QAP, “Maps must be published by official school district source.” Maps from greatschools.org will not qualify. However, per the QAP, “If the school district map is unavailable or unobtainable, a letter from a school district representative evidencing that the proposed site is within the school district boundaries (must include the project location).”</w:t>
            </w:r>
          </w:p>
        </w:tc>
      </w:tr>
      <w:tr w:rsidR="00B24E0A" w:rsidRPr="007424E0" w14:paraId="1CAC6144" w14:textId="77777777" w:rsidTr="64301FE8">
        <w:trPr>
          <w:jc w:val="center"/>
        </w:trPr>
        <w:tc>
          <w:tcPr>
            <w:tcW w:w="1697" w:type="dxa"/>
            <w:shd w:val="clear" w:color="auto" w:fill="auto"/>
            <w:tcMar>
              <w:top w:w="72" w:type="dxa"/>
              <w:left w:w="115" w:type="dxa"/>
              <w:bottom w:w="72" w:type="dxa"/>
              <w:right w:w="115" w:type="dxa"/>
            </w:tcMar>
            <w:vAlign w:val="center"/>
          </w:tcPr>
          <w:p w14:paraId="609EE9D9"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4B7E098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3D3FE51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743AE6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5A861DC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Q22_0422_01</w:t>
            </w:r>
          </w:p>
          <w:p w14:paraId="663120E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our proposed project, the Applicant will enter into an Option for a Ground Lease at a nominal value with the local housing authority, which owns the land and will also serve as one of the General Partners and developers in the project. Although there is an identity-of-interest, the ground lease will be conveyed at a nominal value, so in previous years DCA has not required an appraisal to justify the land value. Could DCA please confirm that this still holds true for 2022? </w:t>
            </w:r>
          </w:p>
          <w:p w14:paraId="05C80DF2" w14:textId="77777777" w:rsidR="00B24E0A" w:rsidRPr="007424E0" w:rsidRDefault="00B24E0A" w:rsidP="000F6D48">
            <w:pPr>
              <w:contextualSpacing/>
              <w:rPr>
                <w:rFonts w:ascii="Times New Roman" w:hAnsi="Times New Roman" w:cs="Times New Roman"/>
                <w:sz w:val="20"/>
                <w:szCs w:val="20"/>
              </w:rPr>
            </w:pPr>
          </w:p>
          <w:p w14:paraId="66CBB017"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2F2F3E8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The 2022 Appraisal Manual states (</w:t>
            </w:r>
            <w:hyperlink r:id="rId41"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427E37D4" w14:textId="77777777" w:rsidR="00B24E0A" w:rsidRPr="007424E0" w:rsidRDefault="00B24E0A" w:rsidP="000F6D48">
            <w:pPr>
              <w:rPr>
                <w:rFonts w:ascii="Times New Roman" w:hAnsi="Times New Roman" w:cs="Times New Roman"/>
                <w:sz w:val="20"/>
                <w:szCs w:val="20"/>
              </w:rPr>
            </w:pPr>
          </w:p>
          <w:p w14:paraId="7F308CBD" w14:textId="77777777" w:rsidR="00B24E0A" w:rsidRPr="007424E0" w:rsidRDefault="00B24E0A" w:rsidP="000F6D48">
            <w:pPr>
              <w:ind w:left="720"/>
              <w:rPr>
                <w:rFonts w:ascii="Times New Roman" w:eastAsia="Calibri" w:hAnsi="Times New Roman" w:cs="Times New Roman"/>
                <w:i/>
                <w:iCs/>
                <w:sz w:val="20"/>
                <w:szCs w:val="20"/>
              </w:rPr>
            </w:pPr>
            <w:r w:rsidRPr="007424E0">
              <w:rPr>
                <w:rFonts w:ascii="Times New Roman" w:hAnsi="Times New Roman" w:cs="Times New Roman"/>
                <w:i/>
                <w:iCs/>
                <w:sz w:val="20"/>
                <w:szCs w:val="20"/>
              </w:rPr>
              <w:t>“</w:t>
            </w:r>
            <w:r w:rsidRPr="007424E0">
              <w:rPr>
                <w:rFonts w:ascii="Times New Roman" w:eastAsia="Calibri" w:hAnsi="Times New Roman" w:cs="Times New Roman"/>
                <w:i/>
                <w:iCs/>
                <w:sz w:val="20"/>
                <w:szCs w:val="20"/>
              </w:rPr>
              <w:t>Land values are required for all appraisals except when a ground lease will be in place and the rent will be a nominal amount of $100 or less. If there is an upfront payment, the land value will be required.”</w:t>
            </w:r>
          </w:p>
          <w:p w14:paraId="04942EDE" w14:textId="77777777" w:rsidR="00B24E0A" w:rsidRPr="007424E0" w:rsidRDefault="00B24E0A" w:rsidP="000F6D48">
            <w:pPr>
              <w:ind w:left="720"/>
              <w:rPr>
                <w:rFonts w:ascii="Times New Roman" w:eastAsia="Calibri" w:hAnsi="Times New Roman" w:cs="Times New Roman"/>
                <w:i/>
                <w:iCs/>
                <w:sz w:val="20"/>
                <w:szCs w:val="20"/>
              </w:rPr>
            </w:pPr>
          </w:p>
          <w:p w14:paraId="43D6A608" w14:textId="77777777" w:rsidR="00B24E0A" w:rsidRPr="007424E0" w:rsidRDefault="00B24E0A" w:rsidP="000F6D48">
            <w:pPr>
              <w:rPr>
                <w:rStyle w:val="normaltextrun"/>
                <w:rFonts w:ascii="Times New Roman" w:eastAsia="Calibri" w:hAnsi="Times New Roman" w:cs="Times New Roman"/>
                <w:i/>
                <w:iCs/>
                <w:sz w:val="20"/>
                <w:szCs w:val="20"/>
              </w:rPr>
            </w:pPr>
            <w:r w:rsidRPr="007424E0">
              <w:rPr>
                <w:rFonts w:ascii="Times New Roman" w:eastAsia="Calibri" w:hAnsi="Times New Roman" w:cs="Times New Roman"/>
                <w:sz w:val="20"/>
                <w:szCs w:val="20"/>
              </w:rPr>
              <w:t xml:space="preserve">DCA will not require an appraisal to justify the land value where a ground lease will be in place and the rent will be $100 or less. Also please note that if the ground lease is structured such that a large upfront payment is required, then it will be considered similar to acquisition and an appraisal will be required. Applications without an appraisal that include an upfront payment greater than the nominal amount may fail </w:t>
            </w:r>
            <w:r w:rsidRPr="007424E0">
              <w:rPr>
                <w:rFonts w:ascii="Times New Roman" w:eastAsia="Calibri" w:hAnsi="Times New Roman" w:cs="Times New Roman"/>
                <w:b/>
                <w:bCs/>
                <w:sz w:val="20"/>
                <w:szCs w:val="20"/>
              </w:rPr>
              <w:t>(Threshold Criteria) Appraisals</w:t>
            </w:r>
            <w:r w:rsidRPr="007424E0">
              <w:rPr>
                <w:rFonts w:ascii="Times New Roman" w:eastAsia="Calibri" w:hAnsi="Times New Roman" w:cs="Times New Roman"/>
                <w:sz w:val="20"/>
                <w:szCs w:val="20"/>
              </w:rPr>
              <w:t>.</w:t>
            </w:r>
          </w:p>
        </w:tc>
      </w:tr>
      <w:tr w:rsidR="00B24E0A" w:rsidRPr="007424E0" w14:paraId="03D74F4E" w14:textId="77777777" w:rsidTr="64301FE8">
        <w:trPr>
          <w:jc w:val="center"/>
        </w:trPr>
        <w:tc>
          <w:tcPr>
            <w:tcW w:w="1697" w:type="dxa"/>
            <w:shd w:val="clear" w:color="auto" w:fill="auto"/>
            <w:tcMar>
              <w:top w:w="72" w:type="dxa"/>
              <w:left w:w="115" w:type="dxa"/>
              <w:bottom w:w="72" w:type="dxa"/>
              <w:right w:w="115" w:type="dxa"/>
            </w:tcMar>
            <w:vAlign w:val="center"/>
          </w:tcPr>
          <w:p w14:paraId="1C1C37CF"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5/6/22</w:t>
            </w:r>
          </w:p>
        </w:tc>
        <w:tc>
          <w:tcPr>
            <w:tcW w:w="2663" w:type="dxa"/>
            <w:shd w:val="clear" w:color="auto" w:fill="auto"/>
            <w:tcMar>
              <w:top w:w="72" w:type="dxa"/>
              <w:left w:w="115" w:type="dxa"/>
              <w:bottom w:w="72" w:type="dxa"/>
              <w:right w:w="115" w:type="dxa"/>
            </w:tcMar>
            <w:vAlign w:val="center"/>
          </w:tcPr>
          <w:p w14:paraId="0195CC5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6ACC7AF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41966EB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4323043A"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Question</w:t>
            </w:r>
            <w:r w:rsidRPr="007424E0">
              <w:rPr>
                <w:rStyle w:val="normaltextrun"/>
                <w:sz w:val="20"/>
                <w:szCs w:val="20"/>
              </w:rPr>
              <w:t>: Q22_0414_01</w:t>
            </w:r>
          </w:p>
          <w:p w14:paraId="31660E6C"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The 2021 Application Tabs Checklist included an item for "Architect Rehab Work Scope Certification Statement" in the Rehab Standards Tab. Will this be included in the 2022 Application Tabs Checklist for submittal with the Tax Credit Application?  If so, is there a form document that the applicant should use, or should the project architect simply draft his own statement on his own letterhead indicating review of the Work Scope?</w:t>
            </w:r>
          </w:p>
          <w:p w14:paraId="3344078C" w14:textId="77777777" w:rsidR="00B24E0A" w:rsidRPr="007424E0" w:rsidRDefault="00B24E0A" w:rsidP="000F6D48">
            <w:pPr>
              <w:pStyle w:val="paragraph"/>
              <w:spacing w:before="0" w:beforeAutospacing="0" w:after="0" w:afterAutospacing="0"/>
              <w:textAlignment w:val="baseline"/>
              <w:rPr>
                <w:rStyle w:val="normaltextrun"/>
                <w:sz w:val="20"/>
                <w:szCs w:val="20"/>
              </w:rPr>
            </w:pPr>
          </w:p>
          <w:p w14:paraId="53E2562E"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b/>
                <w:bCs/>
                <w:sz w:val="20"/>
                <w:szCs w:val="20"/>
              </w:rPr>
              <w:t>Answer</w:t>
            </w:r>
            <w:r w:rsidRPr="007424E0">
              <w:rPr>
                <w:rStyle w:val="normaltextrun"/>
                <w:sz w:val="20"/>
                <w:szCs w:val="20"/>
              </w:rPr>
              <w:t xml:space="preserve">: </w:t>
            </w:r>
          </w:p>
          <w:p w14:paraId="2D111820" w14:textId="77777777" w:rsidR="00B24E0A" w:rsidRPr="007424E0" w:rsidRDefault="00B24E0A"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rPr>
              <w:t xml:space="preserve">Yes, the Architect Rehab Work Scope Certification Statement is a Minimum Document under </w:t>
            </w:r>
            <w:r w:rsidRPr="007424E0">
              <w:rPr>
                <w:rStyle w:val="normaltextrun"/>
                <w:b/>
                <w:bCs/>
                <w:sz w:val="20"/>
                <w:szCs w:val="20"/>
              </w:rPr>
              <w:t>(Threshold Criteria) Rehabilitation Standards</w:t>
            </w:r>
            <w:r w:rsidRPr="007424E0">
              <w:rPr>
                <w:rStyle w:val="normaltextrun"/>
                <w:sz w:val="20"/>
                <w:szCs w:val="20"/>
              </w:rPr>
              <w:t xml:space="preserve"> and is included in the 2022 Application Tabs Checklist for submittal with the 2022 application. At this time, DCA does not have an official form or document for the applicant to use and requires the project Architect to draft his or her own statement on letterhead.</w:t>
            </w:r>
          </w:p>
        </w:tc>
      </w:tr>
      <w:tr w:rsidR="00B24E0A" w:rsidRPr="007424E0" w14:paraId="690B21AC" w14:textId="77777777" w:rsidTr="64301FE8">
        <w:trPr>
          <w:jc w:val="center"/>
        </w:trPr>
        <w:tc>
          <w:tcPr>
            <w:tcW w:w="1697" w:type="dxa"/>
            <w:shd w:val="clear" w:color="auto" w:fill="auto"/>
            <w:tcMar>
              <w:top w:w="72" w:type="dxa"/>
              <w:left w:w="115" w:type="dxa"/>
              <w:bottom w:w="72" w:type="dxa"/>
              <w:right w:w="115" w:type="dxa"/>
            </w:tcMar>
            <w:vAlign w:val="center"/>
          </w:tcPr>
          <w:p w14:paraId="760A2858"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7EBA9CF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5824D09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17637D3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5EC65AB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Q22_0221_08</w:t>
            </w:r>
            <w:r w:rsidRPr="007424E0">
              <w:rPr>
                <w:rStyle w:val="eop"/>
                <w:sz w:val="20"/>
                <w:szCs w:val="20"/>
              </w:rPr>
              <w:t> </w:t>
            </w:r>
          </w:p>
          <w:p w14:paraId="7A93659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XVII. Minority and Women Owned Business </w:t>
            </w:r>
            <w:r w:rsidRPr="007424E0">
              <w:rPr>
                <w:rStyle w:val="contextualspellingandgrammarerror"/>
                <w:rFonts w:eastAsiaTheme="majorEastAsia"/>
                <w:sz w:val="20"/>
                <w:szCs w:val="20"/>
              </w:rPr>
              <w:t>Engagement.|</w:t>
            </w:r>
            <w:r w:rsidRPr="007424E0">
              <w:rPr>
                <w:rStyle w:val="normaltextrun"/>
                <w:sz w:val="20"/>
                <w:szCs w:val="20"/>
              </w:rPr>
              <w:t xml:space="preserve">|DCA has a separate policy document about this scoring item that references multiple NAICS codes that can be listed on </w:t>
            </w:r>
            <w:r w:rsidRPr="007424E0">
              <w:rPr>
                <w:rStyle w:val="contextualspellingandgrammarerror"/>
                <w:rFonts w:eastAsiaTheme="majorEastAsia"/>
                <w:sz w:val="20"/>
                <w:szCs w:val="20"/>
              </w:rPr>
              <w:t>a</w:t>
            </w:r>
            <w:r w:rsidRPr="007424E0">
              <w:rPr>
                <w:rStyle w:val="normaltextrun"/>
                <w:sz w:val="20"/>
                <w:szCs w:val="20"/>
              </w:rPr>
              <w:t xml:space="preserve"> MBE/WBE's certification to qualify for points.  Some of these include construction, real estate, finance &amp; insurance, architectural services, land development agencies, redevelopment authorities, etc. ||Within this scoring section of the QAP, it states that the QB must conduct business in housing or real estate, evidenced by the respective NAICS codes. The separate policy document states the QB must show intent to regularly conduct business related to the housing finance, housing development, affordable housing and property management industry by listing at least one of the following NAICS codes on the certification when the application is submitted. </w:t>
            </w:r>
            <w:r w:rsidRPr="007424E0">
              <w:rPr>
                <w:rStyle w:val="eop"/>
                <w:sz w:val="20"/>
                <w:szCs w:val="20"/>
              </w:rPr>
              <w:t> </w:t>
            </w:r>
          </w:p>
          <w:p w14:paraId="03AC36E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0C323D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These statements seem to conflict with one another (something the QB must do vs something the QB intends to do).  Could you provide more clarity regarding this issue?</w:t>
            </w:r>
            <w:r w:rsidRPr="007424E0">
              <w:rPr>
                <w:rStyle w:val="eop"/>
                <w:sz w:val="20"/>
                <w:szCs w:val="20"/>
              </w:rPr>
              <w:t> </w:t>
            </w:r>
          </w:p>
          <w:p w14:paraId="5942ECD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7849FA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5ED29F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language comparison referred to in this question is the following:</w:t>
            </w:r>
            <w:r w:rsidRPr="007424E0">
              <w:rPr>
                <w:rStyle w:val="eop"/>
                <w:sz w:val="20"/>
                <w:szCs w:val="20"/>
              </w:rPr>
              <w:t> </w:t>
            </w:r>
          </w:p>
          <w:p w14:paraId="667015B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4FEDD28" w14:textId="77777777" w:rsidR="00B24E0A" w:rsidRPr="007424E0" w:rsidRDefault="00B24E0A"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t>(QAP) “QB conducts business in housing or real estate”</w:t>
            </w:r>
            <w:r w:rsidRPr="007424E0">
              <w:rPr>
                <w:rStyle w:val="eop"/>
                <w:sz w:val="20"/>
                <w:szCs w:val="20"/>
              </w:rPr>
              <w:t> </w:t>
            </w:r>
          </w:p>
          <w:p w14:paraId="70773E24" w14:textId="77777777" w:rsidR="00B24E0A" w:rsidRPr="007424E0" w:rsidRDefault="00B24E0A" w:rsidP="000F6D48">
            <w:pPr>
              <w:pStyle w:val="paragraph"/>
              <w:numPr>
                <w:ilvl w:val="0"/>
                <w:numId w:val="26"/>
              </w:numPr>
              <w:spacing w:before="0" w:beforeAutospacing="0" w:after="0" w:afterAutospacing="0"/>
              <w:ind w:left="1080" w:firstLine="0"/>
              <w:textAlignment w:val="baseline"/>
              <w:rPr>
                <w:sz w:val="20"/>
                <w:szCs w:val="20"/>
              </w:rPr>
            </w:pPr>
            <w:r w:rsidRPr="007424E0">
              <w:rPr>
                <w:rStyle w:val="normaltextrun"/>
                <w:sz w:val="20"/>
                <w:szCs w:val="20"/>
              </w:rPr>
              <w:t xml:space="preserve">(Policy Statement, </w:t>
            </w:r>
            <w:hyperlink r:id="rId42" w:tgtFrame="_blank" w:history="1">
              <w:r w:rsidRPr="007424E0">
                <w:rPr>
                  <w:rStyle w:val="normaltextrun"/>
                  <w:sz w:val="20"/>
                  <w:szCs w:val="20"/>
                  <w:u w:val="single"/>
                </w:rPr>
                <w:t>click here</w:t>
              </w:r>
            </w:hyperlink>
            <w:r w:rsidRPr="007424E0">
              <w:rPr>
                <w:rStyle w:val="normaltextrun"/>
                <w:sz w:val="20"/>
                <w:szCs w:val="20"/>
              </w:rPr>
              <w:t xml:space="preserve">) “[QB] must show intent to regularly conduct business related to [housing or real </w:t>
            </w:r>
            <w:r w:rsidRPr="007424E0">
              <w:rPr>
                <w:rStyle w:val="contextualspellingandgrammarerror"/>
                <w:rFonts w:eastAsiaTheme="majorEastAsia"/>
                <w:sz w:val="20"/>
                <w:szCs w:val="20"/>
              </w:rPr>
              <w:t>estate]…</w:t>
            </w:r>
            <w:r w:rsidRPr="007424E0">
              <w:rPr>
                <w:rStyle w:val="normaltextrun"/>
                <w:sz w:val="20"/>
                <w:szCs w:val="20"/>
              </w:rPr>
              <w:t>”</w:t>
            </w:r>
            <w:r w:rsidRPr="007424E0">
              <w:rPr>
                <w:rStyle w:val="eop"/>
                <w:sz w:val="20"/>
                <w:szCs w:val="20"/>
              </w:rPr>
              <w:t> </w:t>
            </w:r>
          </w:p>
          <w:p w14:paraId="2997D99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183996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Where there is a conflict in language between the QAP and another document, the QAP holds. However, in this instance DCA does not believe this represents a language conflict. A QB that “conducts business in housing” will also “[intend] to regularly conduct business related to housing.” </w:t>
            </w:r>
            <w:r w:rsidRPr="007424E0">
              <w:rPr>
                <w:rStyle w:val="eop"/>
                <w:sz w:val="20"/>
                <w:szCs w:val="20"/>
              </w:rPr>
              <w:t> </w:t>
            </w:r>
          </w:p>
          <w:p w14:paraId="70A1B21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6398E0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Regardless of which sentence is referenced, both documents convey that what DCA staff will be confirming is the NAICS code. Specifically, as stated in the Policy Statement, that the QB “</w:t>
            </w:r>
            <w:r w:rsidRPr="007424E0">
              <w:rPr>
                <w:rStyle w:val="normaltextrun"/>
                <w:i/>
                <w:iCs/>
                <w:sz w:val="20"/>
                <w:szCs w:val="20"/>
              </w:rPr>
              <w:t>[listed] at least (1) of the following North American Industry Classification System (NAICS) codes on the certification when the application is submitted…</w:t>
            </w:r>
            <w:r w:rsidRPr="007424E0">
              <w:rPr>
                <w:rStyle w:val="normaltextrun"/>
                <w:sz w:val="20"/>
                <w:szCs w:val="20"/>
              </w:rPr>
              <w:t>”</w:t>
            </w:r>
            <w:r w:rsidRPr="007424E0">
              <w:rPr>
                <w:rStyle w:val="eop"/>
                <w:sz w:val="20"/>
                <w:szCs w:val="20"/>
              </w:rPr>
              <w:t> </w:t>
            </w:r>
          </w:p>
        </w:tc>
      </w:tr>
      <w:tr w:rsidR="00B24E0A" w:rsidRPr="007424E0" w14:paraId="34694E3B" w14:textId="77777777" w:rsidTr="64301FE8">
        <w:trPr>
          <w:jc w:val="center"/>
        </w:trPr>
        <w:tc>
          <w:tcPr>
            <w:tcW w:w="1697" w:type="dxa"/>
            <w:shd w:val="clear" w:color="auto" w:fill="auto"/>
            <w:tcMar>
              <w:top w:w="72" w:type="dxa"/>
              <w:left w:w="115" w:type="dxa"/>
              <w:bottom w:w="72" w:type="dxa"/>
              <w:right w:w="115" w:type="dxa"/>
            </w:tcMar>
            <w:vAlign w:val="center"/>
          </w:tcPr>
          <w:p w14:paraId="6B17AFFA"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06C70AA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1CEF58E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532089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B80093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Q22_0411_15 </w:t>
            </w:r>
          </w:p>
          <w:p w14:paraId="49EEF2C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Minority-and Women-owned Business Engagement: the minimum expenses to minority- and women-owned “Qualified Business” (QBs) is 5% of total construction hard costs. Can the sum of multiple contracts to QBs that are each less than 5% meet this requirement, or does at least one QB contract need to involve at least 5% worth of expenses?  </w:t>
            </w:r>
          </w:p>
          <w:p w14:paraId="6EE3932D" w14:textId="77777777" w:rsidR="00B24E0A" w:rsidRPr="007424E0" w:rsidRDefault="00B24E0A" w:rsidP="000F6D48">
            <w:pPr>
              <w:textAlignment w:val="baseline"/>
              <w:rPr>
                <w:rFonts w:ascii="Times New Roman" w:eastAsia="Times New Roman" w:hAnsi="Times New Roman" w:cs="Times New Roman"/>
                <w:sz w:val="20"/>
                <w:szCs w:val="20"/>
              </w:rPr>
            </w:pPr>
          </w:p>
          <w:p w14:paraId="2B9226F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0EE019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the project team must “Engage QBs in the development or operation of the proposed property in amounts equal to approximately 5% of total construction hard costs…” </w:t>
            </w:r>
          </w:p>
          <w:p w14:paraId="65BFBD3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7CBE6F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QAP states that “amounts” (plural) must reach 5%. Therefore, the expenses paid can be cumulative. For example, if three QBs are each paid 2% of total construction hard costs each, the 6% cumulative amount would meet the minimum 5% requirement in the QAP.  </w:t>
            </w:r>
          </w:p>
        </w:tc>
      </w:tr>
      <w:tr w:rsidR="00B24E0A" w:rsidRPr="007424E0" w14:paraId="333C2FE6" w14:textId="77777777" w:rsidTr="64301FE8">
        <w:trPr>
          <w:jc w:val="center"/>
        </w:trPr>
        <w:tc>
          <w:tcPr>
            <w:tcW w:w="1697" w:type="dxa"/>
            <w:shd w:val="clear" w:color="auto" w:fill="auto"/>
            <w:tcMar>
              <w:top w:w="72" w:type="dxa"/>
              <w:left w:w="115" w:type="dxa"/>
              <w:bottom w:w="72" w:type="dxa"/>
              <w:right w:w="115" w:type="dxa"/>
            </w:tcMar>
            <w:vAlign w:val="center"/>
          </w:tcPr>
          <w:p w14:paraId="46EAEA80"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4/27/22</w:t>
            </w:r>
          </w:p>
        </w:tc>
        <w:tc>
          <w:tcPr>
            <w:tcW w:w="2663" w:type="dxa"/>
            <w:shd w:val="clear" w:color="auto" w:fill="auto"/>
            <w:tcMar>
              <w:top w:w="72" w:type="dxa"/>
              <w:left w:w="115" w:type="dxa"/>
              <w:bottom w:w="72" w:type="dxa"/>
              <w:right w:w="115" w:type="dxa"/>
            </w:tcMar>
            <w:vAlign w:val="center"/>
          </w:tcPr>
          <w:p w14:paraId="3D330BC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6A571AD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AACC21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09F5B2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Q22_0425_15 </w:t>
            </w:r>
          </w:p>
          <w:p w14:paraId="3C78BCB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under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subsection </w:t>
            </w:r>
            <w:r w:rsidRPr="007424E0">
              <w:rPr>
                <w:rFonts w:ascii="Times New Roman" w:eastAsia="Times New Roman" w:hAnsi="Times New Roman" w:cs="Times New Roman"/>
                <w:b/>
                <w:bCs/>
                <w:sz w:val="20"/>
                <w:szCs w:val="20"/>
              </w:rPr>
              <w:t>A. Engagement Commitment and Reporting</w:t>
            </w:r>
            <w:r w:rsidRPr="007424E0">
              <w:rPr>
                <w:rFonts w:ascii="Times New Roman" w:eastAsia="Times New Roman" w:hAnsi="Times New Roman" w:cs="Times New Roman"/>
                <w:sz w:val="20"/>
                <w:szCs w:val="20"/>
              </w:rPr>
              <w:t xml:space="preserve"> that owners can “Engage QBs in the development </w:t>
            </w:r>
            <w:r w:rsidRPr="007424E0">
              <w:rPr>
                <w:rFonts w:ascii="Times New Roman" w:eastAsia="Times New Roman" w:hAnsi="Times New Roman" w:cs="Times New Roman"/>
                <w:sz w:val="20"/>
                <w:szCs w:val="20"/>
                <w:u w:val="single"/>
              </w:rPr>
              <w:t>or operation</w:t>
            </w:r>
            <w:r w:rsidRPr="007424E0">
              <w:rPr>
                <w:rFonts w:ascii="Times New Roman" w:eastAsia="Times New Roman" w:hAnsi="Times New Roman" w:cs="Times New Roman"/>
                <w:sz w:val="20"/>
                <w:szCs w:val="20"/>
              </w:rPr>
              <w:t xml:space="preserve"> of the proposed property… as certified by the Independent Auditor Report in the Final Allocation Application.” </w:t>
            </w:r>
          </w:p>
          <w:p w14:paraId="7EED62C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3F2FDA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Operational expenses will not be included in the baseline independent auditor report, since it is not a development cost. Are contracts to QB management companies for operational expenses eligible under this section?  </w:t>
            </w:r>
          </w:p>
          <w:p w14:paraId="4BFAB51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C01BB5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97E161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any expense that is allowable under this section but not by default included in the baseline independent auditor report included with the Final Allocation Application for 8609s, applicants can have the expense verified by an independent auditor and include that evidence in the Final Allocation Application. Such expenses to management companies are eligible.  </w:t>
            </w:r>
          </w:p>
          <w:p w14:paraId="152122AE"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2435BFBF" w14:textId="77777777" w:rsidTr="64301FE8">
        <w:trPr>
          <w:jc w:val="center"/>
        </w:trPr>
        <w:tc>
          <w:tcPr>
            <w:tcW w:w="1697" w:type="dxa"/>
            <w:shd w:val="clear" w:color="auto" w:fill="auto"/>
            <w:tcMar>
              <w:top w:w="72" w:type="dxa"/>
              <w:left w:w="115" w:type="dxa"/>
              <w:bottom w:w="72" w:type="dxa"/>
              <w:right w:w="115" w:type="dxa"/>
            </w:tcMar>
            <w:vAlign w:val="center"/>
          </w:tcPr>
          <w:p w14:paraId="2706575C"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4/22/22</w:t>
            </w:r>
          </w:p>
        </w:tc>
        <w:tc>
          <w:tcPr>
            <w:tcW w:w="2663" w:type="dxa"/>
            <w:shd w:val="clear" w:color="auto" w:fill="auto"/>
            <w:tcMar>
              <w:top w:w="72" w:type="dxa"/>
              <w:left w:w="115" w:type="dxa"/>
              <w:bottom w:w="72" w:type="dxa"/>
              <w:right w:w="115" w:type="dxa"/>
            </w:tcMar>
            <w:vAlign w:val="center"/>
          </w:tcPr>
          <w:p w14:paraId="39521ED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1E76F83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51C964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44BE85F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Q22_0408_01 </w:t>
            </w:r>
          </w:p>
          <w:p w14:paraId="5C2598C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question Q22_0216_08, DCA states that the QAP does not disallow subcontractors when taking points under Section XVII of the scoring section.  We are glad to hear this.  The NAICS code for subcontractors typically used in multifamily construction is 238.  This code is not listed on DCA's list of codes that will be considered to accept certification.  We would like DCA to verify that NAICS code 238, defined as "performing specialized construction work on multifamily housing and other residential buildings, generally on a subcontract basis" is a code that will qualify an applicant to claim points in this section.   </w:t>
            </w:r>
          </w:p>
          <w:p w14:paraId="29634B3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14A0C1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Some examples of NAICS codes that pertain to subs in the LIHTC industry are: 238110 Poured Concrete Foundation Contractors; 238130 Framing Contractors; 238140 Masonry Contractors; 238150 Glass and Glazing Contractors; 238160 Roofing Contractors; 238170 Siding Contractors; 238220 Plumbing, Heating and Air-Conditioning Contractors. None of these codes are currently listed in DCA's Minority-and Women-Owned Business Engagement Policy, therefore, we want to make sure we understand what is allowed. </w:t>
            </w:r>
          </w:p>
          <w:p w14:paraId="70BDEF1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18B574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99FD83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has been updated to include businesses with NAICS codes which fall under 238 – the Specialty Trade Contractors subsector. The updated policy has been uploaded to the Scoring Documents and Data page of the DCA website (</w:t>
            </w:r>
            <w:hyperlink r:id="rId43"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tc>
      </w:tr>
      <w:tr w:rsidR="00B24E0A" w:rsidRPr="007424E0" w14:paraId="55771919" w14:textId="77777777" w:rsidTr="64301FE8">
        <w:trPr>
          <w:jc w:val="center"/>
        </w:trPr>
        <w:tc>
          <w:tcPr>
            <w:tcW w:w="1697" w:type="dxa"/>
            <w:shd w:val="clear" w:color="auto" w:fill="auto"/>
            <w:tcMar>
              <w:top w:w="72" w:type="dxa"/>
              <w:left w:w="115" w:type="dxa"/>
              <w:bottom w:w="72" w:type="dxa"/>
              <w:right w:w="115" w:type="dxa"/>
            </w:tcMar>
            <w:vAlign w:val="center"/>
          </w:tcPr>
          <w:p w14:paraId="3D09C419"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3AB4D86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3.06</w:t>
            </w:r>
          </w:p>
          <w:p w14:paraId="46DE179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513CF77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Community Transportation Options </w:t>
            </w:r>
          </w:p>
        </w:tc>
        <w:tc>
          <w:tcPr>
            <w:tcW w:w="9585" w:type="dxa"/>
            <w:shd w:val="clear" w:color="auto" w:fill="auto"/>
            <w:tcMar>
              <w:top w:w="72" w:type="dxa"/>
              <w:left w:w="115" w:type="dxa"/>
              <w:bottom w:w="72" w:type="dxa"/>
              <w:right w:w="115" w:type="dxa"/>
            </w:tcMar>
            <w:vAlign w:val="center"/>
          </w:tcPr>
          <w:p w14:paraId="2AED8B3C"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Q22_0330_02</w:t>
            </w:r>
          </w:p>
          <w:p w14:paraId="760346D3"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BACKGROUND: Section VI. Community Transportation Options, subsection B defines a transit hub as "a station that has three or more bus routes, rail options, and/or other affordable mass transit options". In prior rounds, points have been awarded for various types of transit hubs (e.g. a rail station with 2+ connecting bus lines or a single bus stop serving 3+ bus lines). In the 2021 Q&amp;A, answer Q0226_06 notes that the QAP does not define the term station, suggesting DCA retains some discretion as to what constitutes a "station". My question is intended to further clarify with a more specific example.</w:t>
            </w:r>
          </w:p>
          <w:p w14:paraId="76C0F82C" w14:textId="77777777" w:rsidR="00B24E0A" w:rsidRPr="007424E0" w:rsidRDefault="00B24E0A" w:rsidP="000F6D48">
            <w:pPr>
              <w:rPr>
                <w:rFonts w:ascii="Times New Roman" w:eastAsia="Times New Roman" w:hAnsi="Times New Roman" w:cs="Times New Roman"/>
                <w:sz w:val="20"/>
                <w:szCs w:val="20"/>
              </w:rPr>
            </w:pPr>
          </w:p>
          <w:p w14:paraId="63FDA2FF"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QUESTION: Could a series of bus stops in very close proximity constitute a station? For example, a series of 3 distinct MARTA bus stops in downtown Hapeville are within a ~725 foot walk of each other. Compare the proximity of these stops to MARTA's Lindbergh Center Transit Station in Atlanta. Lindbergh's two bus loops are separated by an ~825 foot walk (~100 feet farther apart than the series of bus stops in Hapeville). Could the series of bus stops in downtown Hapeville constitute a station/transit hub, given that they are in closer proximity than the bus loops of Lindbergh Station? </w:t>
            </w:r>
          </w:p>
          <w:p w14:paraId="146309F3" w14:textId="77777777" w:rsidR="00B24E0A" w:rsidRPr="007424E0" w:rsidRDefault="00B24E0A" w:rsidP="000F6D48">
            <w:pPr>
              <w:contextualSpacing/>
              <w:rPr>
                <w:rFonts w:ascii="Times New Roman" w:hAnsi="Times New Roman" w:cs="Times New Roman"/>
                <w:sz w:val="20"/>
                <w:szCs w:val="20"/>
              </w:rPr>
            </w:pPr>
          </w:p>
          <w:p w14:paraId="368165AD"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w:t>
            </w:r>
          </w:p>
          <w:p w14:paraId="1D2672BE" w14:textId="77777777" w:rsidR="00B24E0A" w:rsidRPr="007424E0" w:rsidRDefault="00B24E0A" w:rsidP="000F6D48">
            <w:pPr>
              <w:contextualSpacing/>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Section VI. Community Transportation Options, </w:t>
            </w:r>
            <w:r w:rsidRPr="007424E0">
              <w:rPr>
                <w:rFonts w:ascii="Times New Roman" w:eastAsia="Times New Roman" w:hAnsi="Times New Roman" w:cs="Times New Roman"/>
                <w:b/>
                <w:bCs/>
                <w:sz w:val="20"/>
                <w:szCs w:val="20"/>
              </w:rPr>
              <w:t>subsection A</w:t>
            </w:r>
            <w:r w:rsidRPr="007424E0">
              <w:rPr>
                <w:rFonts w:ascii="Times New Roman" w:eastAsia="Times New Roman" w:hAnsi="Times New Roman" w:cs="Times New Roman"/>
                <w:sz w:val="20"/>
                <w:szCs w:val="20"/>
              </w:rPr>
              <w:t xml:space="preserve"> defines a transit hub as “a station that has three or more bus routes, rail options, and/or other affordable mass transit options.” </w:t>
            </w:r>
          </w:p>
          <w:p w14:paraId="670CB525" w14:textId="77777777" w:rsidR="00B24E0A" w:rsidRPr="007424E0" w:rsidRDefault="00B24E0A" w:rsidP="000F6D48">
            <w:pPr>
              <w:contextualSpacing/>
              <w:rPr>
                <w:rFonts w:ascii="Times New Roman" w:eastAsia="Times New Roman" w:hAnsi="Times New Roman" w:cs="Times New Roman"/>
                <w:sz w:val="20"/>
                <w:szCs w:val="20"/>
              </w:rPr>
            </w:pPr>
          </w:p>
          <w:p w14:paraId="6D8E2946" w14:textId="77777777" w:rsidR="00B24E0A" w:rsidRPr="007424E0" w:rsidRDefault="00B24E0A"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 station” refers to a single location. </w:t>
            </w:r>
          </w:p>
          <w:p w14:paraId="01D264A9" w14:textId="77777777" w:rsidR="00B24E0A" w:rsidRPr="007424E0" w:rsidRDefault="00B24E0A"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2021 Q&amp;A referenced asked whether a station requires a “large structure.” In the context of that question, DCA’s response was intended to affirm that, for example, a single bus stop with three intersecting bus routes would not be disqualified due to its lacking a “large structure” often associated with the term “station.” </w:t>
            </w:r>
          </w:p>
          <w:p w14:paraId="7F6C4F2E" w14:textId="77777777" w:rsidR="00B24E0A" w:rsidRPr="007424E0" w:rsidRDefault="00B24E0A" w:rsidP="000F6D48">
            <w:pPr>
              <w:pStyle w:val="ListParagraph"/>
              <w:numPr>
                <w:ilvl w:val="1"/>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 series of bus stops in close proximity do not operate at a single location and therefore do not constitute a transit hub.</w:t>
            </w:r>
            <w:r w:rsidRPr="007424E0">
              <w:rPr>
                <w:rFonts w:ascii="Times New Roman" w:eastAsia="Times New Roman" w:hAnsi="Times New Roman" w:cs="Times New Roman"/>
                <w:sz w:val="20"/>
                <w:szCs w:val="20"/>
              </w:rPr>
              <w:br/>
            </w:r>
          </w:p>
          <w:p w14:paraId="792682DC" w14:textId="77777777" w:rsidR="00B24E0A" w:rsidRPr="007424E0" w:rsidRDefault="00B24E0A" w:rsidP="000F6D48">
            <w:pPr>
              <w:pStyle w:val="ListParagraph"/>
              <w:numPr>
                <w:ilvl w:val="0"/>
                <w:numId w:val="19"/>
              </w:num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note that the QAP qualifies transit hubs based on the number of transit routes at a station, not stops or loops. This question compares an area with three nearby bus stops to a station with two bus loops, neither of which confirms how many routes operate at any of the physical locations. Therefore, the question does not contain sufficient information to assess whether either circumstance qualifies under this section.</w:t>
            </w:r>
          </w:p>
        </w:tc>
      </w:tr>
      <w:tr w:rsidR="00B24E0A" w:rsidRPr="007424E0" w14:paraId="5C2F983A" w14:textId="77777777" w:rsidTr="64301FE8">
        <w:trPr>
          <w:jc w:val="center"/>
        </w:trPr>
        <w:tc>
          <w:tcPr>
            <w:tcW w:w="1697" w:type="dxa"/>
            <w:shd w:val="clear" w:color="auto" w:fill="auto"/>
            <w:tcMar>
              <w:top w:w="72" w:type="dxa"/>
              <w:left w:w="115" w:type="dxa"/>
              <w:bottom w:w="72" w:type="dxa"/>
              <w:right w:w="115" w:type="dxa"/>
            </w:tcMar>
            <w:vAlign w:val="center"/>
          </w:tcPr>
          <w:p w14:paraId="550AB291"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671406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3.10</w:t>
            </w:r>
          </w:p>
          <w:p w14:paraId="11BFFC6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D426DC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Stable Communities</w:t>
            </w:r>
          </w:p>
        </w:tc>
        <w:tc>
          <w:tcPr>
            <w:tcW w:w="9585" w:type="dxa"/>
            <w:shd w:val="clear" w:color="auto" w:fill="auto"/>
            <w:tcMar>
              <w:top w:w="72" w:type="dxa"/>
              <w:left w:w="115" w:type="dxa"/>
              <w:bottom w:w="72" w:type="dxa"/>
              <w:right w:w="115" w:type="dxa"/>
            </w:tcMar>
            <w:vAlign w:val="center"/>
          </w:tcPr>
          <w:p w14:paraId="487A693F"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Q22_0419_03</w:t>
            </w:r>
          </w:p>
          <w:p w14:paraId="1B247CB1"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When looking at the updated DCA Health and Economic Indicators table, I am unable to find the census tract that a site is located in. The census tract is shown on the 2019 tabs and life expectancy tabs but does not appear on the 2020 tabs of the spreadsheet. Can you please clarify as to why the census tract does not appear? </w:t>
            </w:r>
          </w:p>
          <w:p w14:paraId="61D04DDE" w14:textId="77777777" w:rsidR="00B24E0A" w:rsidRPr="007424E0" w:rsidRDefault="00B24E0A" w:rsidP="000F6D48">
            <w:pPr>
              <w:contextualSpacing/>
              <w:rPr>
                <w:rFonts w:ascii="Times New Roman" w:hAnsi="Times New Roman" w:cs="Times New Roman"/>
                <w:sz w:val="20"/>
                <w:szCs w:val="20"/>
              </w:rPr>
            </w:pPr>
          </w:p>
          <w:p w14:paraId="0F482700"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E0CED4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Census Tracts are updated once per decade, following the Decennial Census. The 2020 Census data is based on the Census Tracts, as defined by the 2020 Decennial Census. The Census Bureau published a file showing relationships between 2010 and 2020 Census Tracts, which DCA has uploaded to the Scoring Documents and Data page of the DCA website (</w:t>
            </w:r>
            <w:hyperlink r:id="rId44"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30F8E663" w14:textId="77777777" w:rsidR="00B24E0A" w:rsidRPr="007424E0" w:rsidRDefault="00B24E0A" w:rsidP="000F6D48">
            <w:pPr>
              <w:rPr>
                <w:rFonts w:ascii="Times New Roman" w:hAnsi="Times New Roman" w:cs="Times New Roman"/>
                <w:sz w:val="20"/>
                <w:szCs w:val="20"/>
              </w:rPr>
            </w:pPr>
          </w:p>
          <w:p w14:paraId="57AB330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To help applicants understand how Census Tracts have changed, DCA has added layers to the Housing Tax Credit Properties Map showing 2010 Census Tracts and 2020 Census Tracts. You may identify your site’s new Census Tract number and associated values for Stable Communities Health and Economic Indicators data through the following steps:</w:t>
            </w:r>
          </w:p>
          <w:p w14:paraId="5DD0EC21" w14:textId="77777777" w:rsidR="00B24E0A" w:rsidRPr="007424E0" w:rsidRDefault="00B24E0A"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Open the Housing Tax Credit Properties Map (</w:t>
            </w:r>
            <w:hyperlink r:id="rId45"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w:t>
            </w:r>
          </w:p>
          <w:p w14:paraId="32FF995D" w14:textId="77777777" w:rsidR="00B24E0A" w:rsidRPr="007424E0" w:rsidRDefault="00B24E0A"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Enter your site’s address or coordinates in the search bar</w:t>
            </w:r>
          </w:p>
          <w:p w14:paraId="12AB436E" w14:textId="77777777" w:rsidR="00B24E0A" w:rsidRPr="007424E0" w:rsidRDefault="00B24E0A"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drawing>
                <wp:inline distT="0" distB="0" distL="0" distR="0" wp14:anchorId="0B7E2CAA" wp14:editId="02841CA6">
                  <wp:extent cx="4710989" cy="208924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33639" cy="2099288"/>
                          </a:xfrm>
                          <a:prstGeom prst="rect">
                            <a:avLst/>
                          </a:prstGeom>
                        </pic:spPr>
                      </pic:pic>
                    </a:graphicData>
                  </a:graphic>
                </wp:inline>
              </w:drawing>
            </w:r>
          </w:p>
          <w:p w14:paraId="4F4680BE" w14:textId="77777777" w:rsidR="00B24E0A" w:rsidRPr="007424E0" w:rsidRDefault="00B24E0A"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on the site location</w:t>
            </w:r>
          </w:p>
          <w:p w14:paraId="5EC5D230" w14:textId="77777777" w:rsidR="00B24E0A" w:rsidRPr="007424E0" w:rsidRDefault="00B24E0A" w:rsidP="000F6D48">
            <w:pPr>
              <w:pStyle w:val="ListParagraph"/>
              <w:keepNext/>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in the pop-up box to find the 2020 Census Tract number</w:t>
            </w:r>
          </w:p>
          <w:p w14:paraId="661D5B1E" w14:textId="77777777" w:rsidR="00B24E0A" w:rsidRPr="007424E0" w:rsidRDefault="00B24E0A" w:rsidP="000F6D48">
            <w:pPr>
              <w:pStyle w:val="ListParagraph"/>
              <w:keepNext/>
              <w:rPr>
                <w:rFonts w:ascii="Times New Roman" w:hAnsi="Times New Roman" w:cs="Times New Roman"/>
                <w:sz w:val="20"/>
                <w:szCs w:val="20"/>
              </w:rPr>
            </w:pPr>
            <w:r w:rsidRPr="007424E0">
              <w:rPr>
                <w:rFonts w:ascii="Times New Roman" w:hAnsi="Times New Roman" w:cs="Times New Roman"/>
                <w:noProof/>
                <w:sz w:val="20"/>
                <w:szCs w:val="20"/>
              </w:rPr>
              <w:drawing>
                <wp:inline distT="0" distB="0" distL="0" distR="0" wp14:anchorId="214BCA33" wp14:editId="7398BB5A">
                  <wp:extent cx="4564684" cy="282317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75191" cy="2829677"/>
                          </a:xfrm>
                          <a:prstGeom prst="rect">
                            <a:avLst/>
                          </a:prstGeom>
                        </pic:spPr>
                      </pic:pic>
                    </a:graphicData>
                  </a:graphic>
                </wp:inline>
              </w:drawing>
            </w:r>
          </w:p>
          <w:p w14:paraId="0F3D8C61" w14:textId="77777777" w:rsidR="00B24E0A" w:rsidRPr="007424E0" w:rsidRDefault="00B24E0A" w:rsidP="000F6D48">
            <w:pPr>
              <w:pStyle w:val="ListParagraph"/>
              <w:numPr>
                <w:ilvl w:val="0"/>
                <w:numId w:val="24"/>
              </w:numPr>
              <w:rPr>
                <w:rFonts w:ascii="Times New Roman" w:hAnsi="Times New Roman" w:cs="Times New Roman"/>
                <w:sz w:val="20"/>
                <w:szCs w:val="20"/>
              </w:rPr>
            </w:pPr>
            <w:r w:rsidRPr="007424E0">
              <w:rPr>
                <w:rFonts w:ascii="Times New Roman" w:hAnsi="Times New Roman" w:cs="Times New Roman"/>
                <w:sz w:val="20"/>
                <w:szCs w:val="20"/>
              </w:rPr>
              <w:t>Click the arrows to find 2020 Stable Communities data</w:t>
            </w:r>
          </w:p>
          <w:p w14:paraId="473F3017" w14:textId="77777777" w:rsidR="00B24E0A" w:rsidRPr="007424E0" w:rsidRDefault="00B24E0A" w:rsidP="000F6D48">
            <w:pPr>
              <w:pStyle w:val="ListParagraph"/>
              <w:rPr>
                <w:rFonts w:ascii="Times New Roman" w:hAnsi="Times New Roman" w:cs="Times New Roman"/>
                <w:sz w:val="20"/>
                <w:szCs w:val="20"/>
              </w:rPr>
            </w:pPr>
            <w:r w:rsidRPr="007424E0">
              <w:rPr>
                <w:rFonts w:ascii="Times New Roman" w:hAnsi="Times New Roman" w:cs="Times New Roman"/>
                <w:noProof/>
                <w:sz w:val="20"/>
                <w:szCs w:val="20"/>
              </w:rPr>
              <w:drawing>
                <wp:inline distT="0" distB="0" distL="0" distR="0" wp14:anchorId="45585EB6" wp14:editId="6A363F10">
                  <wp:extent cx="4198924" cy="307786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12342" cy="3087702"/>
                          </a:xfrm>
                          <a:prstGeom prst="rect">
                            <a:avLst/>
                          </a:prstGeom>
                        </pic:spPr>
                      </pic:pic>
                    </a:graphicData>
                  </a:graphic>
                </wp:inline>
              </w:drawing>
            </w:r>
          </w:p>
          <w:p w14:paraId="5E24CDCD" w14:textId="77777777" w:rsidR="00B24E0A" w:rsidRPr="007424E0" w:rsidRDefault="00B24E0A" w:rsidP="000F6D48">
            <w:pPr>
              <w:rPr>
                <w:rFonts w:ascii="Times New Roman" w:hAnsi="Times New Roman" w:cs="Times New Roman"/>
                <w:sz w:val="20"/>
                <w:szCs w:val="20"/>
              </w:rPr>
            </w:pPr>
          </w:p>
          <w:p w14:paraId="44F81D7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If you are unable to identify your site’s 2020 Census Tract following the above steps, please submit the site’s address or coordinates through the Q&amp;A Survey.</w:t>
            </w:r>
          </w:p>
          <w:p w14:paraId="7D8E6E6F"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5C6334EB" w14:textId="77777777" w:rsidTr="64301FE8">
        <w:trPr>
          <w:jc w:val="center"/>
        </w:trPr>
        <w:tc>
          <w:tcPr>
            <w:tcW w:w="1697" w:type="dxa"/>
            <w:shd w:val="clear" w:color="auto" w:fill="auto"/>
            <w:tcMar>
              <w:top w:w="72" w:type="dxa"/>
              <w:left w:w="115" w:type="dxa"/>
              <w:bottom w:w="72" w:type="dxa"/>
              <w:right w:w="115" w:type="dxa"/>
            </w:tcMar>
            <w:vAlign w:val="center"/>
          </w:tcPr>
          <w:p w14:paraId="28EFC54F"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4/21/22</w:t>
            </w:r>
          </w:p>
        </w:tc>
        <w:tc>
          <w:tcPr>
            <w:tcW w:w="2663" w:type="dxa"/>
            <w:shd w:val="clear" w:color="auto" w:fill="auto"/>
            <w:tcMar>
              <w:top w:w="72" w:type="dxa"/>
              <w:left w:w="115" w:type="dxa"/>
              <w:bottom w:w="72" w:type="dxa"/>
              <w:right w:w="115" w:type="dxa"/>
            </w:tcMar>
            <w:vAlign w:val="center"/>
          </w:tcPr>
          <w:p w14:paraId="1171322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3E9ED75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EB718A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13919B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Q22_0221_06</w:t>
            </w:r>
            <w:r w:rsidRPr="007424E0">
              <w:rPr>
                <w:rStyle w:val="eop"/>
                <w:sz w:val="20"/>
                <w:szCs w:val="20"/>
              </w:rPr>
              <w:t> </w:t>
            </w:r>
          </w:p>
          <w:p w14:paraId="069CDFC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If Applicant takes points for </w:t>
            </w:r>
            <w:r w:rsidRPr="007424E0">
              <w:rPr>
                <w:rStyle w:val="normaltextrun"/>
                <w:b/>
                <w:bCs/>
                <w:sz w:val="20"/>
                <w:szCs w:val="20"/>
              </w:rPr>
              <w:t>Scoring, Minority- and Women-Owned Business Engagement, A. Engagement Commitment and Reporting</w:t>
            </w:r>
            <w:r w:rsidRPr="007424E0">
              <w:rPr>
                <w:rStyle w:val="normaltextrun"/>
                <w:sz w:val="20"/>
                <w:szCs w:val="20"/>
              </w:rPr>
              <w:t xml:space="preserve">, and </w:t>
            </w:r>
            <w:r w:rsidRPr="007424E0">
              <w:rPr>
                <w:rStyle w:val="advancedproofingissue"/>
                <w:rFonts w:eastAsiaTheme="majorEastAsia"/>
                <w:sz w:val="20"/>
                <w:szCs w:val="20"/>
              </w:rPr>
              <w:t>is able to</w:t>
            </w:r>
            <w:r w:rsidRPr="007424E0">
              <w:rPr>
                <w:rStyle w:val="normaltextrun"/>
                <w:sz w:val="20"/>
                <w:szCs w:val="20"/>
              </w:rPr>
              <w:t xml:space="preserve"> get several QBs certified as MBE/WBEs by the Final Allocation Application, and attempts to reach the 5% of total construction hard costs requirement, but reaches an amount less than 5%, has the Applicant still met the scoring requirement, </w:t>
            </w:r>
            <w:r w:rsidRPr="007424E0">
              <w:rPr>
                <w:rStyle w:val="advancedproofingissue"/>
                <w:rFonts w:eastAsiaTheme="majorEastAsia"/>
                <w:sz w:val="20"/>
                <w:szCs w:val="20"/>
              </w:rPr>
              <w:t>as long as</w:t>
            </w:r>
            <w:r w:rsidRPr="007424E0">
              <w:rPr>
                <w:rStyle w:val="normaltextrun"/>
                <w:sz w:val="20"/>
                <w:szCs w:val="20"/>
              </w:rPr>
              <w:t xml:space="preserve"> this is explained in a report at Final Allocation Application?</w:t>
            </w:r>
            <w:r w:rsidRPr="007424E0">
              <w:rPr>
                <w:rStyle w:val="eop"/>
                <w:sz w:val="20"/>
                <w:szCs w:val="20"/>
              </w:rPr>
              <w:t> </w:t>
            </w:r>
          </w:p>
          <w:p w14:paraId="4B4245D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87D247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3EC08E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Yes. DCA will assess compliance with this commitment based on meaningful attempts to reach the 5% threshold and a complete, detailed report submitted with the 8609 </w:t>
            </w:r>
            <w:r w:rsidRPr="007424E0">
              <w:rPr>
                <w:rStyle w:val="contextualspellingandgrammarerror"/>
                <w:rFonts w:eastAsiaTheme="majorEastAsia"/>
                <w:sz w:val="20"/>
                <w:szCs w:val="20"/>
              </w:rPr>
              <w:t>application</w:t>
            </w:r>
            <w:r w:rsidRPr="007424E0">
              <w:rPr>
                <w:rStyle w:val="normaltextrun"/>
                <w:sz w:val="20"/>
                <w:szCs w:val="20"/>
              </w:rPr>
              <w:t>. </w:t>
            </w:r>
            <w:r w:rsidRPr="007424E0">
              <w:rPr>
                <w:rStyle w:val="eop"/>
                <w:sz w:val="20"/>
                <w:szCs w:val="20"/>
              </w:rPr>
              <w:t> </w:t>
            </w:r>
          </w:p>
          <w:p w14:paraId="111D3C9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9AA1DB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Examples of how DCA will assess “meaningful attempts” include, but are not limited to: </w:t>
            </w:r>
            <w:r w:rsidRPr="007424E0">
              <w:rPr>
                <w:rStyle w:val="eop"/>
                <w:sz w:val="20"/>
                <w:szCs w:val="20"/>
              </w:rPr>
              <w:t> </w:t>
            </w:r>
          </w:p>
          <w:p w14:paraId="7E429313" w14:textId="77777777" w:rsidR="00B24E0A" w:rsidRPr="007424E0" w:rsidRDefault="00B24E0A"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 xml:space="preserve">the extent of outreach efforts to engage QBs described and evidence substantiating these </w:t>
            </w:r>
            <w:r w:rsidRPr="007424E0">
              <w:rPr>
                <w:rStyle w:val="contextualspellingandgrammarerror"/>
                <w:rFonts w:eastAsiaTheme="majorEastAsia"/>
                <w:sz w:val="20"/>
                <w:szCs w:val="20"/>
              </w:rPr>
              <w:t>efforts;</w:t>
            </w:r>
            <w:r w:rsidRPr="007424E0">
              <w:rPr>
                <w:rStyle w:val="eop"/>
                <w:sz w:val="20"/>
                <w:szCs w:val="20"/>
              </w:rPr>
              <w:t> </w:t>
            </w:r>
          </w:p>
          <w:p w14:paraId="5B113670" w14:textId="77777777" w:rsidR="00B24E0A" w:rsidRPr="007424E0" w:rsidRDefault="00B24E0A" w:rsidP="000F6D48">
            <w:pPr>
              <w:pStyle w:val="paragraph"/>
              <w:numPr>
                <w:ilvl w:val="0"/>
                <w:numId w:val="25"/>
              </w:numPr>
              <w:spacing w:before="0" w:beforeAutospacing="0" w:after="0" w:afterAutospacing="0"/>
              <w:ind w:left="1080" w:firstLine="0"/>
              <w:textAlignment w:val="baseline"/>
              <w:rPr>
                <w:sz w:val="20"/>
                <w:szCs w:val="20"/>
              </w:rPr>
            </w:pPr>
            <w:r w:rsidRPr="007424E0">
              <w:rPr>
                <w:rStyle w:val="normaltextrun"/>
                <w:sz w:val="20"/>
                <w:szCs w:val="20"/>
              </w:rPr>
              <w:t>comparison of successes between Engagement Reports submitted within the same geographic area. </w:t>
            </w:r>
            <w:r w:rsidRPr="007424E0">
              <w:rPr>
                <w:rStyle w:val="eop"/>
                <w:sz w:val="20"/>
                <w:szCs w:val="20"/>
              </w:rPr>
              <w:t> </w:t>
            </w:r>
          </w:p>
          <w:p w14:paraId="3E624E50"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0EF54BEA" w14:textId="77777777" w:rsidTr="64301FE8">
        <w:trPr>
          <w:jc w:val="center"/>
        </w:trPr>
        <w:tc>
          <w:tcPr>
            <w:tcW w:w="1697" w:type="dxa"/>
            <w:shd w:val="clear" w:color="auto" w:fill="auto"/>
            <w:tcMar>
              <w:top w:w="72" w:type="dxa"/>
              <w:left w:w="115" w:type="dxa"/>
              <w:bottom w:w="72" w:type="dxa"/>
              <w:right w:w="115" w:type="dxa"/>
            </w:tcMar>
            <w:vAlign w:val="center"/>
          </w:tcPr>
          <w:p w14:paraId="64F1FDC0"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32A09B8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2.06</w:t>
            </w:r>
          </w:p>
          <w:p w14:paraId="567C19C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1F6ECC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Appraisals</w:t>
            </w:r>
          </w:p>
        </w:tc>
        <w:tc>
          <w:tcPr>
            <w:tcW w:w="9585" w:type="dxa"/>
            <w:shd w:val="clear" w:color="auto" w:fill="auto"/>
            <w:tcMar>
              <w:top w:w="72" w:type="dxa"/>
              <w:left w:w="115" w:type="dxa"/>
              <w:bottom w:w="72" w:type="dxa"/>
              <w:right w:w="115" w:type="dxa"/>
            </w:tcMar>
            <w:vAlign w:val="center"/>
          </w:tcPr>
          <w:p w14:paraId="28E621DA" w14:textId="77777777" w:rsidR="00B24E0A" w:rsidRPr="007424E0" w:rsidRDefault="00B24E0A" w:rsidP="000F6D48">
            <w:pPr>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FAD6B69" w14:textId="77777777" w:rsidR="00B24E0A" w:rsidRPr="007424E0" w:rsidRDefault="00B24E0A" w:rsidP="000F6D48">
            <w:pPr>
              <w:textAlignment w:val="baseline"/>
              <w:rPr>
                <w:rFonts w:ascii="Times New Roman" w:eastAsia="Times New Roman" w:hAnsi="Times New Roman" w:cs="Times New Roman"/>
                <w:b/>
                <w:bCs/>
                <w:sz w:val="20"/>
                <w:szCs w:val="20"/>
              </w:rPr>
            </w:pPr>
          </w:p>
          <w:p w14:paraId="5AFE4BF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Q22_0404_01 </w:t>
            </w:r>
          </w:p>
          <w:p w14:paraId="68B65FF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you please clarify if an appraisal is required to be submitted with Application Submission for a 9% new construction submittal or is an appraisal required if our project receives an award? </w:t>
            </w:r>
          </w:p>
          <w:p w14:paraId="378C308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82F059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EF7059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Appraisals</w:t>
            </w:r>
            <w:r w:rsidRPr="007424E0">
              <w:rPr>
                <w:rFonts w:ascii="Times New Roman" w:eastAsia="Times New Roman" w:hAnsi="Times New Roman" w:cs="Times New Roman"/>
                <w:sz w:val="20"/>
                <w:szCs w:val="20"/>
              </w:rPr>
              <w:t xml:space="preserve"> indicates the following instances in which Applicants must submit an appraisal at Application Submission: </w:t>
            </w:r>
          </w:p>
          <w:p w14:paraId="459E5C7A" w14:textId="77777777" w:rsidR="00B24E0A" w:rsidRPr="007424E0" w:rsidRDefault="00B24E0A"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is claiming acquisition credits for existing structures </w:t>
            </w:r>
          </w:p>
          <w:p w14:paraId="674EA05D" w14:textId="77777777" w:rsidR="00B24E0A" w:rsidRPr="007424E0" w:rsidRDefault="00B24E0A" w:rsidP="000F6D48">
            <w:pPr>
              <w:numPr>
                <w:ilvl w:val="0"/>
                <w:numId w:val="20"/>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Application has an Identity of Interest between the buyer and seller </w:t>
            </w:r>
          </w:p>
          <w:p w14:paraId="4E6B0D24" w14:textId="77777777" w:rsidR="00B24E0A" w:rsidRPr="007424E0" w:rsidRDefault="00B24E0A" w:rsidP="000F6D48">
            <w:pPr>
              <w:numPr>
                <w:ilvl w:val="0"/>
                <w:numId w:val="21"/>
              </w:numPr>
              <w:ind w:left="180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Includes seller that is a member of the proposed Project Team, including a limited partner </w:t>
            </w:r>
          </w:p>
          <w:p w14:paraId="7BE3F37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3012BAC"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During review, before closing, or upon closing, DCA may commission an appraisal or require submission of an appraisal commissioned by a lender or a DCA-approved appraiser. </w:t>
            </w:r>
          </w:p>
        </w:tc>
      </w:tr>
      <w:tr w:rsidR="00B24E0A" w:rsidRPr="007424E0" w14:paraId="2C4BB33D" w14:textId="77777777" w:rsidTr="64301FE8">
        <w:trPr>
          <w:jc w:val="center"/>
        </w:trPr>
        <w:tc>
          <w:tcPr>
            <w:tcW w:w="1697" w:type="dxa"/>
            <w:shd w:val="clear" w:color="auto" w:fill="auto"/>
            <w:tcMar>
              <w:top w:w="72" w:type="dxa"/>
              <w:left w:w="115" w:type="dxa"/>
              <w:bottom w:w="72" w:type="dxa"/>
              <w:right w:w="115" w:type="dxa"/>
            </w:tcMar>
            <w:vAlign w:val="center"/>
          </w:tcPr>
          <w:p w14:paraId="736E0F2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048E98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2.15</w:t>
            </w:r>
          </w:p>
          <w:p w14:paraId="68345C5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BC6CC6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Rehabilitation Standards</w:t>
            </w:r>
          </w:p>
        </w:tc>
        <w:tc>
          <w:tcPr>
            <w:tcW w:w="9585" w:type="dxa"/>
            <w:shd w:val="clear" w:color="auto" w:fill="auto"/>
            <w:tcMar>
              <w:top w:w="72" w:type="dxa"/>
              <w:left w:w="115" w:type="dxa"/>
              <w:bottom w:w="72" w:type="dxa"/>
              <w:right w:w="115" w:type="dxa"/>
            </w:tcMar>
            <w:vAlign w:val="center"/>
          </w:tcPr>
          <w:p w14:paraId="549C1C47"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Q22_0314_01</w:t>
            </w:r>
          </w:p>
          <w:p w14:paraId="03F5A49E"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Paragraph B of </w:t>
            </w:r>
            <w:r w:rsidRPr="007424E0">
              <w:rPr>
                <w:rFonts w:ascii="Times New Roman" w:eastAsia="Times New Roman" w:hAnsi="Times New Roman" w:cs="Times New Roman"/>
                <w:b/>
                <w:bCs/>
                <w:sz w:val="20"/>
                <w:szCs w:val="20"/>
              </w:rPr>
              <w:t>(Threshold) Rehabilitation Standards</w:t>
            </w:r>
            <w:r w:rsidRPr="007424E0">
              <w:rPr>
                <w:rFonts w:ascii="Times New Roman" w:eastAsia="Times New Roman" w:hAnsi="Times New Roman" w:cs="Times New Roman"/>
                <w:sz w:val="20"/>
                <w:szCs w:val="20"/>
              </w:rPr>
              <w:t xml:space="preserve"> requires a Physical Needs Assessment and Capital Reserve Study completed by a DCA-qualified consultant.  Can you please direct me to a list of the qualified consultants posted on the DCA website?</w:t>
            </w:r>
          </w:p>
          <w:p w14:paraId="01B8E631" w14:textId="77777777" w:rsidR="00B24E0A" w:rsidRPr="007424E0" w:rsidRDefault="00B24E0A" w:rsidP="000F6D48">
            <w:pPr>
              <w:contextualSpacing/>
              <w:rPr>
                <w:rFonts w:ascii="Times New Roman" w:hAnsi="Times New Roman" w:cs="Times New Roman"/>
                <w:sz w:val="20"/>
                <w:szCs w:val="20"/>
              </w:rPr>
            </w:pPr>
          </w:p>
          <w:p w14:paraId="2D63A065" w14:textId="77777777" w:rsidR="00B24E0A" w:rsidRPr="007424E0" w:rsidRDefault="00B24E0A" w:rsidP="000F6D48">
            <w:pPr>
              <w:rPr>
                <w:rFonts w:ascii="Times New Roman" w:hAnsi="Times New Roman" w:cs="Times New Roman"/>
                <w:b/>
                <w:bCs/>
                <w:sz w:val="20"/>
                <w:szCs w:val="20"/>
              </w:rPr>
            </w:pPr>
            <w:r w:rsidRPr="007424E0">
              <w:rPr>
                <w:rFonts w:ascii="Times New Roman" w:hAnsi="Times New Roman" w:cs="Times New Roman"/>
                <w:b/>
                <w:bCs/>
                <w:sz w:val="20"/>
                <w:szCs w:val="20"/>
              </w:rPr>
              <w:t>Answer:</w:t>
            </w:r>
          </w:p>
          <w:p w14:paraId="620D1E2E" w14:textId="77777777" w:rsidR="00B24E0A" w:rsidRPr="007424E0" w:rsidRDefault="00B24E0A" w:rsidP="000F6D48">
            <w:pPr>
              <w:rPr>
                <w:rStyle w:val="normaltextrun"/>
                <w:rFonts w:ascii="Times New Roman" w:eastAsia="MS Mincho" w:hAnsi="Times New Roman" w:cs="Times New Roman"/>
                <w:b/>
                <w:bCs/>
                <w:sz w:val="20"/>
                <w:szCs w:val="20"/>
              </w:rPr>
            </w:pPr>
            <w:r w:rsidRPr="007424E0">
              <w:rPr>
                <w:rFonts w:ascii="Times New Roman" w:eastAsia="Times New Roman" w:hAnsi="Times New Roman" w:cs="Times New Roman"/>
                <w:sz w:val="20"/>
                <w:szCs w:val="20"/>
              </w:rPr>
              <w:t xml:space="preserve">DCA does not have a list of qualified consultants posted to our website. </w:t>
            </w:r>
            <w:r w:rsidRPr="007424E0">
              <w:rPr>
                <w:rFonts w:ascii="Times New Roman" w:hAnsi="Times New Roman" w:cs="Times New Roman"/>
                <w:sz w:val="20"/>
                <w:szCs w:val="20"/>
              </w:rPr>
              <w:t xml:space="preserve">Per the 2022 QAP, </w:t>
            </w:r>
            <w:r w:rsidRPr="007424E0">
              <w:rPr>
                <w:rFonts w:ascii="Times New Roman" w:eastAsia="Calibri" w:hAnsi="Times New Roman" w:cs="Times New Roman"/>
                <w:sz w:val="20"/>
                <w:szCs w:val="20"/>
              </w:rPr>
              <w:t xml:space="preserve">a “Qualified Consultant” is any individual who meets the experience requirements and qualifications as notated in the </w:t>
            </w:r>
            <w:r w:rsidRPr="007424E0">
              <w:rPr>
                <w:rFonts w:ascii="Times New Roman" w:eastAsia="Calibri" w:hAnsi="Times New Roman" w:cs="Times New Roman"/>
                <w:b/>
                <w:bCs/>
                <w:sz w:val="20"/>
                <w:szCs w:val="20"/>
              </w:rPr>
              <w:t>2022 Rehabilitation Guide</w:t>
            </w:r>
            <w:r w:rsidRPr="007424E0">
              <w:rPr>
                <w:rFonts w:ascii="Times New Roman" w:eastAsia="Calibri" w:hAnsi="Times New Roman" w:cs="Times New Roman"/>
                <w:sz w:val="20"/>
                <w:szCs w:val="20"/>
              </w:rPr>
              <w:t xml:space="preserve">, section </w:t>
            </w:r>
            <w:r w:rsidRPr="007424E0">
              <w:rPr>
                <w:rFonts w:ascii="Times New Roman" w:eastAsia="Calibri" w:hAnsi="Times New Roman" w:cs="Times New Roman"/>
                <w:b/>
                <w:bCs/>
                <w:sz w:val="20"/>
                <w:szCs w:val="20"/>
              </w:rPr>
              <w:t>5. Physical Needs Assessments</w:t>
            </w:r>
            <w:r w:rsidRPr="007424E0">
              <w:rPr>
                <w:rFonts w:ascii="Times New Roman" w:eastAsia="Calibri" w:hAnsi="Times New Roman" w:cs="Times New Roman"/>
                <w:sz w:val="20"/>
                <w:szCs w:val="20"/>
              </w:rPr>
              <w:t xml:space="preserve">, subsection </w:t>
            </w:r>
            <w:r w:rsidRPr="007424E0">
              <w:rPr>
                <w:rFonts w:ascii="Times New Roman" w:eastAsia="Calibri" w:hAnsi="Times New Roman" w:cs="Times New Roman"/>
                <w:b/>
                <w:bCs/>
                <w:sz w:val="20"/>
                <w:szCs w:val="20"/>
              </w:rPr>
              <w:t xml:space="preserve">A. “Qualified Consultant.” </w:t>
            </w:r>
            <w:r w:rsidRPr="007424E0">
              <w:rPr>
                <w:rFonts w:ascii="Times New Roman" w:eastAsia="Calibri" w:hAnsi="Times New Roman" w:cs="Times New Roman"/>
                <w:sz w:val="20"/>
                <w:szCs w:val="20"/>
              </w:rPr>
              <w:t>The report must include a certification that the report was prepared by an individual who meets the above-listed experience requirements and qualifications to be considered a Qualified Consultant.</w:t>
            </w:r>
          </w:p>
        </w:tc>
      </w:tr>
      <w:tr w:rsidR="00B24E0A" w:rsidRPr="007424E0" w14:paraId="155743AB" w14:textId="77777777" w:rsidTr="64301FE8">
        <w:trPr>
          <w:jc w:val="center"/>
        </w:trPr>
        <w:tc>
          <w:tcPr>
            <w:tcW w:w="1697" w:type="dxa"/>
            <w:shd w:val="clear" w:color="auto" w:fill="auto"/>
            <w:tcMar>
              <w:top w:w="72" w:type="dxa"/>
              <w:left w:w="115" w:type="dxa"/>
              <w:bottom w:w="72" w:type="dxa"/>
              <w:right w:w="115" w:type="dxa"/>
            </w:tcMar>
            <w:vAlign w:val="center"/>
          </w:tcPr>
          <w:p w14:paraId="6F27ED8B"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69D0EB2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2.17</w:t>
            </w:r>
          </w:p>
          <w:p w14:paraId="0EDA022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C92250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Building Sustainability</w:t>
            </w:r>
          </w:p>
        </w:tc>
        <w:tc>
          <w:tcPr>
            <w:tcW w:w="9585" w:type="dxa"/>
            <w:shd w:val="clear" w:color="auto" w:fill="auto"/>
            <w:tcMar>
              <w:top w:w="72" w:type="dxa"/>
              <w:left w:w="115" w:type="dxa"/>
              <w:bottom w:w="72" w:type="dxa"/>
              <w:right w:w="115" w:type="dxa"/>
            </w:tcMar>
            <w:vAlign w:val="center"/>
          </w:tcPr>
          <w:p w14:paraId="6DA27B1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Q1221_01</w:t>
            </w:r>
            <w:r w:rsidRPr="007424E0">
              <w:rPr>
                <w:rStyle w:val="eop"/>
                <w:sz w:val="20"/>
                <w:szCs w:val="20"/>
              </w:rPr>
              <w:t> </w:t>
            </w:r>
          </w:p>
          <w:p w14:paraId="0D59187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 xml:space="preserve">(Threshold) Building Sustainability, C. DCA Building Sustainability </w:t>
            </w:r>
            <w:r w:rsidRPr="007424E0">
              <w:rPr>
                <w:rStyle w:val="normaltextrun"/>
                <w:sz w:val="20"/>
                <w:szCs w:val="20"/>
              </w:rPr>
              <w:t>requires applicants to complete DCA’s virtual Building Sustainability training. Who is required to obtain the training and certificate, and how can that person obtain the training and certificate?</w:t>
            </w:r>
            <w:r w:rsidRPr="007424E0">
              <w:rPr>
                <w:rStyle w:val="eop"/>
                <w:sz w:val="20"/>
                <w:szCs w:val="20"/>
              </w:rPr>
              <w:t> </w:t>
            </w:r>
          </w:p>
          <w:p w14:paraId="2E0D6C6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54052C1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57A86A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Applicants (defined as “the General Partner” in the QAP) must complete DCA’s virtual Building Sustainability training.</w:t>
            </w:r>
            <w:r w:rsidRPr="007424E0">
              <w:rPr>
                <w:rStyle w:val="eop"/>
                <w:sz w:val="20"/>
                <w:szCs w:val="20"/>
              </w:rPr>
              <w:t> </w:t>
            </w:r>
          </w:p>
          <w:p w14:paraId="288C123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20A31974" w14:textId="77777777" w:rsidR="00B24E0A" w:rsidRPr="007424E0" w:rsidRDefault="00B24E0A" w:rsidP="000F6D48">
            <w:pPr>
              <w:pStyle w:val="paragraph"/>
              <w:spacing w:before="0" w:beforeAutospacing="0" w:after="0" w:afterAutospacing="0"/>
              <w:textAlignment w:val="baseline"/>
              <w:rPr>
                <w:sz w:val="20"/>
                <w:szCs w:val="20"/>
              </w:rPr>
            </w:pPr>
            <w:r w:rsidRPr="007424E0">
              <w:rPr>
                <w:sz w:val="20"/>
                <w:szCs w:val="20"/>
              </w:rPr>
              <w:t>The training is posted to the DCA YouTube page (</w:t>
            </w:r>
            <w:hyperlink r:id="rId49" w:tgtFrame="_blank" w:history="1">
              <w:r w:rsidRPr="007424E0">
                <w:rPr>
                  <w:rStyle w:val="normaltextrun"/>
                  <w:sz w:val="20"/>
                  <w:szCs w:val="20"/>
                  <w:u w:val="single"/>
                </w:rPr>
                <w:t>click here</w:t>
              </w:r>
            </w:hyperlink>
            <w:r w:rsidRPr="007424E0">
              <w:rPr>
                <w:sz w:val="20"/>
                <w:szCs w:val="20"/>
              </w:rPr>
              <w:t>).</w:t>
            </w:r>
          </w:p>
          <w:p w14:paraId="2C143256" w14:textId="77777777" w:rsidR="00B24E0A" w:rsidRPr="007424E0" w:rsidRDefault="00B24E0A" w:rsidP="000F6D48">
            <w:pPr>
              <w:pStyle w:val="paragraph"/>
              <w:spacing w:before="0" w:beforeAutospacing="0" w:after="0" w:afterAutospacing="0"/>
              <w:textAlignment w:val="baseline"/>
              <w:rPr>
                <w:rStyle w:val="normaltextrun"/>
                <w:b/>
                <w:bCs/>
                <w:sz w:val="20"/>
                <w:szCs w:val="20"/>
              </w:rPr>
            </w:pPr>
          </w:p>
          <w:p w14:paraId="1DDBD3C1" w14:textId="77777777" w:rsidR="00B24E0A" w:rsidRPr="007424E0" w:rsidRDefault="00B24E0A" w:rsidP="000F6D48">
            <w:pPr>
              <w:pStyle w:val="paragraph"/>
              <w:spacing w:before="0" w:beforeAutospacing="0" w:after="0" w:afterAutospacing="0"/>
              <w:textAlignment w:val="baseline"/>
              <w:rPr>
                <w:rStyle w:val="normaltextrun"/>
                <w:b/>
                <w:bCs/>
                <w:sz w:val="20"/>
                <w:szCs w:val="20"/>
              </w:rPr>
            </w:pPr>
            <w:r w:rsidRPr="007424E0">
              <w:rPr>
                <w:rStyle w:val="normaltextrun"/>
                <w:sz w:val="20"/>
                <w:szCs w:val="20"/>
                <w:shd w:val="clear" w:color="auto" w:fill="FFFFFF"/>
              </w:rPr>
              <w:t>Please note, the YouTube video will not generate a Certificate of Participation.  Applicants will certify completion of the training in the Building Sustainability section of the Core Application, which will also include a link to the Building Sustainability training video linked above.</w:t>
            </w:r>
          </w:p>
        </w:tc>
      </w:tr>
      <w:tr w:rsidR="00B24E0A" w:rsidRPr="007424E0" w14:paraId="0EB6EFAA" w14:textId="77777777" w:rsidTr="64301FE8">
        <w:trPr>
          <w:jc w:val="center"/>
        </w:trPr>
        <w:tc>
          <w:tcPr>
            <w:tcW w:w="1697" w:type="dxa"/>
            <w:shd w:val="clear" w:color="auto" w:fill="auto"/>
            <w:tcMar>
              <w:top w:w="72" w:type="dxa"/>
              <w:left w:w="115" w:type="dxa"/>
              <w:bottom w:w="72" w:type="dxa"/>
              <w:right w:w="115" w:type="dxa"/>
            </w:tcMar>
            <w:vAlign w:val="center"/>
          </w:tcPr>
          <w:p w14:paraId="4FCBC592"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576752B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31DC5CA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6DDAE19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10D017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Q22_0221_05 </w:t>
            </w:r>
          </w:p>
          <w:p w14:paraId="6AFD570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DCA's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document, one of the categories of the NAICS codes that deems a QB as certified is Public Administration. Does this mean public entities such as a redevelopment authority, land development agencies, building standards agencies, etc. can be MBE/WBEs?  </w:t>
            </w:r>
          </w:p>
          <w:p w14:paraId="140118A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91C04B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2ED4A2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does not qualify or disqualify specific types of organizations from participation. DCA staff will assess whether the QB meets all requirements listed in the QAP.  </w:t>
            </w:r>
          </w:p>
          <w:p w14:paraId="34428F1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8772AEE"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If the question above is intended to refer to whether such organizations are eligible to receive certifications under the certification programs listed in the posted </w:t>
            </w:r>
            <w:r w:rsidRPr="007424E0">
              <w:rPr>
                <w:rFonts w:ascii="Times New Roman" w:eastAsia="Times New Roman" w:hAnsi="Times New Roman" w:cs="Times New Roman"/>
                <w:i/>
                <w:iCs/>
                <w:sz w:val="20"/>
                <w:szCs w:val="20"/>
              </w:rPr>
              <w:t>DCA Minority- and Women-Owned Business Engagement Policy</w:t>
            </w:r>
            <w:r w:rsidRPr="007424E0">
              <w:rPr>
                <w:rFonts w:ascii="Times New Roman" w:eastAsia="Times New Roman" w:hAnsi="Times New Roman" w:cs="Times New Roman"/>
                <w:sz w:val="20"/>
                <w:szCs w:val="20"/>
              </w:rPr>
              <w:t xml:space="preserve"> (</w:t>
            </w:r>
            <w:hyperlink r:id="rId50"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then please direct the question to the programs themselves. DCA is not able to provide guidance about non-DCA programs.  </w:t>
            </w:r>
          </w:p>
        </w:tc>
      </w:tr>
      <w:tr w:rsidR="00B24E0A" w:rsidRPr="007424E0" w14:paraId="4A03B591" w14:textId="77777777" w:rsidTr="64301FE8">
        <w:trPr>
          <w:jc w:val="center"/>
        </w:trPr>
        <w:tc>
          <w:tcPr>
            <w:tcW w:w="1697" w:type="dxa"/>
            <w:shd w:val="clear" w:color="auto" w:fill="auto"/>
            <w:tcMar>
              <w:top w:w="72" w:type="dxa"/>
              <w:left w:w="115" w:type="dxa"/>
              <w:bottom w:w="72" w:type="dxa"/>
              <w:right w:w="115" w:type="dxa"/>
            </w:tcMar>
            <w:vAlign w:val="center"/>
          </w:tcPr>
          <w:p w14:paraId="1B150256"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10074BD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02F59CE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2391E27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2EA9320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Q22_0304_08 </w:t>
            </w:r>
          </w:p>
          <w:p w14:paraId="2BF0A4F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If a City agrees to sell a property it owns to a developer for less than the appraised value of the property, can the difference between sale price and appraised value be counted as a City government grant to the project? </w:t>
            </w:r>
          </w:p>
          <w:p w14:paraId="49F44AB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BE39C9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5FBDAC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Reducing the cost of a line item in the development budget does not constitute a grant. </w:t>
            </w:r>
          </w:p>
        </w:tc>
      </w:tr>
      <w:tr w:rsidR="00B24E0A" w:rsidRPr="007424E0" w14:paraId="40FA2D5C" w14:textId="77777777" w:rsidTr="64301FE8">
        <w:trPr>
          <w:jc w:val="center"/>
        </w:trPr>
        <w:tc>
          <w:tcPr>
            <w:tcW w:w="1697" w:type="dxa"/>
            <w:shd w:val="clear" w:color="auto" w:fill="auto"/>
            <w:tcMar>
              <w:top w:w="72" w:type="dxa"/>
              <w:left w:w="115" w:type="dxa"/>
              <w:bottom w:w="72" w:type="dxa"/>
              <w:right w:w="115" w:type="dxa"/>
            </w:tcMar>
            <w:vAlign w:val="center"/>
          </w:tcPr>
          <w:p w14:paraId="0B594FE6"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7C5AE45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3.24</w:t>
            </w:r>
          </w:p>
          <w:p w14:paraId="45F61FB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E2B882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Integrated Supportive Housing</w:t>
            </w:r>
          </w:p>
        </w:tc>
        <w:tc>
          <w:tcPr>
            <w:tcW w:w="9585" w:type="dxa"/>
            <w:shd w:val="clear" w:color="auto" w:fill="auto"/>
            <w:tcMar>
              <w:top w:w="72" w:type="dxa"/>
              <w:left w:w="115" w:type="dxa"/>
              <w:bottom w:w="72" w:type="dxa"/>
              <w:right w:w="115" w:type="dxa"/>
            </w:tcMar>
            <w:vAlign w:val="center"/>
          </w:tcPr>
          <w:p w14:paraId="3711E28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Q1124_01 </w:t>
            </w:r>
          </w:p>
          <w:p w14:paraId="442C4A0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At the 2022 QAP Workshop, DCA indicated that </w:t>
            </w:r>
            <w:r w:rsidRPr="007424E0">
              <w:rPr>
                <w:rFonts w:ascii="Times New Roman" w:eastAsia="Times New Roman" w:hAnsi="Times New Roman" w:cs="Times New Roman"/>
                <w:b/>
                <w:bCs/>
                <w:sz w:val="20"/>
                <w:szCs w:val="20"/>
              </w:rPr>
              <w:t>(Scoring) Integrated Supportive Housing</w:t>
            </w:r>
            <w:r w:rsidRPr="007424E0">
              <w:rPr>
                <w:rFonts w:ascii="Times New Roman" w:eastAsia="Times New Roman" w:hAnsi="Times New Roman" w:cs="Times New Roman"/>
                <w:sz w:val="20"/>
                <w:szCs w:val="20"/>
              </w:rPr>
              <w:t xml:space="preserve">, option </w:t>
            </w:r>
            <w:r w:rsidRPr="007424E0">
              <w:rPr>
                <w:rFonts w:ascii="Times New Roman" w:eastAsia="Times New Roman" w:hAnsi="Times New Roman" w:cs="Times New Roman"/>
                <w:b/>
                <w:bCs/>
                <w:sz w:val="20"/>
                <w:szCs w:val="20"/>
              </w:rPr>
              <w:t>D. DCA Section 811 Commitments: Prior Performance</w:t>
            </w:r>
            <w:r w:rsidRPr="007424E0">
              <w:rPr>
                <w:rFonts w:ascii="Times New Roman" w:eastAsia="Times New Roman" w:hAnsi="Times New Roman" w:cs="Times New Roman"/>
                <w:sz w:val="20"/>
                <w:szCs w:val="20"/>
              </w:rPr>
              <w:t xml:space="preserve"> would be scored such that everybody gets the 2 points by default, and only if there was a prior performance issue related to the “Property requirements” bullets listed in the QAP under this section would DCA deduct the two points. </w:t>
            </w:r>
          </w:p>
          <w:p w14:paraId="721FF6F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F51F2BD" w14:textId="77777777" w:rsidR="00B24E0A" w:rsidRPr="007424E0" w:rsidRDefault="00B24E0A" w:rsidP="000F6D48">
            <w:pPr>
              <w:numPr>
                <w:ilvl w:val="0"/>
                <w:numId w:val="22"/>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some applicants, DCA has never reached out to the owners about 811 contracting even if they took the points. And some applicants did not apply under prior QAPs and thus never had the opportunity to take the points. Are these applicants also eligible for these two points by default under the 2022 round? </w:t>
            </w:r>
          </w:p>
          <w:p w14:paraId="15DA1F7E"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BF6EEA6" w14:textId="77777777" w:rsidR="00B24E0A" w:rsidRPr="007424E0" w:rsidRDefault="00B24E0A" w:rsidP="000F6D48">
            <w:pPr>
              <w:numPr>
                <w:ilvl w:val="0"/>
                <w:numId w:val="23"/>
              </w:numPr>
              <w:ind w:left="1080" w:firstLine="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also stated at the Workshop that if staff identified any issues, they would communicate these issues to the owners during the Pre-Application phase and owners would have the opportunity to correct these issues before a point penalty is applied. Since this was conveyed verbally at the Workshop, I’m confirming that this is in fact the case.  </w:t>
            </w:r>
          </w:p>
          <w:p w14:paraId="7B2E5A4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C49448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1D6016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first question: yes, all applicants will receive the 2 points under option D. by default.  </w:t>
            </w:r>
          </w:p>
          <w:p w14:paraId="6A01700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434075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To the second question: DCA has completed its review of 811 agreement “Prior Performance.” Staff identified issues that under a subsequent competitive round may result in a points penalty. However, all issues identified occurred prior to the 2022 QAP being finalized. Therefore, under the 2022 Competitive Round, DCA will not deduct any points under this section.  </w:t>
            </w:r>
          </w:p>
          <w:p w14:paraId="6B0BBC3F"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C41BCF1"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DCA is in the process of communicating with owners about the issues identified, so that they can be aware of the points penalty risk in the future.  </w:t>
            </w:r>
          </w:p>
        </w:tc>
      </w:tr>
      <w:tr w:rsidR="00B24E0A" w:rsidRPr="007424E0" w14:paraId="638935BD" w14:textId="77777777" w:rsidTr="64301FE8">
        <w:trPr>
          <w:jc w:val="center"/>
        </w:trPr>
        <w:tc>
          <w:tcPr>
            <w:tcW w:w="1697" w:type="dxa"/>
            <w:shd w:val="clear" w:color="auto" w:fill="auto"/>
            <w:tcMar>
              <w:top w:w="72" w:type="dxa"/>
              <w:left w:w="115" w:type="dxa"/>
              <w:bottom w:w="72" w:type="dxa"/>
              <w:right w:w="115" w:type="dxa"/>
            </w:tcMar>
            <w:vAlign w:val="center"/>
          </w:tcPr>
          <w:p w14:paraId="58AB0B05"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4/14/22</w:t>
            </w:r>
          </w:p>
        </w:tc>
        <w:tc>
          <w:tcPr>
            <w:tcW w:w="2663" w:type="dxa"/>
            <w:shd w:val="clear" w:color="auto" w:fill="auto"/>
            <w:tcMar>
              <w:top w:w="72" w:type="dxa"/>
              <w:left w:w="115" w:type="dxa"/>
              <w:bottom w:w="72" w:type="dxa"/>
              <w:right w:w="115" w:type="dxa"/>
            </w:tcMar>
            <w:vAlign w:val="center"/>
          </w:tcPr>
          <w:p w14:paraId="34D2AE8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3.26</w:t>
            </w:r>
          </w:p>
          <w:p w14:paraId="117E90F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F8B38D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Affordability Loss Risk</w:t>
            </w:r>
          </w:p>
        </w:tc>
        <w:tc>
          <w:tcPr>
            <w:tcW w:w="9585" w:type="dxa"/>
            <w:shd w:val="clear" w:color="auto" w:fill="auto"/>
            <w:tcMar>
              <w:top w:w="72" w:type="dxa"/>
              <w:left w:w="115" w:type="dxa"/>
              <w:bottom w:w="72" w:type="dxa"/>
              <w:right w:w="115" w:type="dxa"/>
            </w:tcMar>
            <w:vAlign w:val="center"/>
          </w:tcPr>
          <w:p w14:paraId="5B10F21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Q22_1119_01 </w:t>
            </w:r>
          </w:p>
          <w:p w14:paraId="34242F9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have a question regarding the requirement that if we are to use HUD PBRA rents, it needs to have at least 10 years remaining and how it may affect the scoring section under </w:t>
            </w:r>
            <w:r w:rsidRPr="007424E0">
              <w:rPr>
                <w:rFonts w:ascii="Times New Roman" w:eastAsia="Times New Roman" w:hAnsi="Times New Roman" w:cs="Times New Roman"/>
                <w:b/>
                <w:bCs/>
                <w:sz w:val="20"/>
                <w:szCs w:val="20"/>
              </w:rPr>
              <w:t>(Scoring) Affordability Loss Risk</w:t>
            </w:r>
            <w:r w:rsidRPr="007424E0">
              <w:rPr>
                <w:rFonts w:ascii="Times New Roman" w:eastAsia="Times New Roman" w:hAnsi="Times New Roman" w:cs="Times New Roman"/>
                <w:sz w:val="20"/>
                <w:szCs w:val="20"/>
              </w:rPr>
              <w:t>. </w:t>
            </w:r>
          </w:p>
          <w:p w14:paraId="6B42F93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35F9DC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633C8D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From the 2022 QAP Workshop slides: “[Affordability Loss Risk] is, by design, expected to impact the rankings in different set asides in different ways. This is the primary reason for having distinct set asides by preservation type (e.g., scoring RAD and existing Housing Tax Credit properties separately).” </w:t>
            </w:r>
          </w:p>
          <w:p w14:paraId="0BAB82E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DCA436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w:t>
            </w:r>
            <w:r w:rsidRPr="007424E0">
              <w:rPr>
                <w:rFonts w:ascii="Times New Roman" w:eastAsia="Times New Roman" w:hAnsi="Times New Roman" w:cs="Times New Roman"/>
                <w:i/>
                <w:iCs/>
                <w:sz w:val="20"/>
                <w:szCs w:val="20"/>
              </w:rPr>
              <w:t>Affordability Loss Risk Form</w:t>
            </w:r>
            <w:r w:rsidRPr="007424E0">
              <w:rPr>
                <w:rFonts w:ascii="Times New Roman" w:eastAsia="Times New Roman" w:hAnsi="Times New Roman" w:cs="Times New Roman"/>
                <w:sz w:val="20"/>
                <w:szCs w:val="20"/>
              </w:rPr>
              <w:t xml:space="preserve"> (under Scoring Documents and Data, </w:t>
            </w:r>
            <w:hyperlink r:id="rId51"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covers three criteria for ranking. Again, from the QAP Workshop slides, “For certain set asides, it may even be the case that an individual [criterion] does not result in meaningful variation between applications.” In these instances, point determinations will be based on the other ranking criteria.</w:t>
            </w:r>
          </w:p>
        </w:tc>
      </w:tr>
      <w:tr w:rsidR="00B24E0A" w:rsidRPr="007424E0" w14:paraId="1F371D38" w14:textId="77777777" w:rsidTr="64301FE8">
        <w:trPr>
          <w:jc w:val="center"/>
        </w:trPr>
        <w:tc>
          <w:tcPr>
            <w:tcW w:w="1697" w:type="dxa"/>
            <w:shd w:val="clear" w:color="auto" w:fill="auto"/>
            <w:tcMar>
              <w:top w:w="72" w:type="dxa"/>
              <w:left w:w="115" w:type="dxa"/>
              <w:bottom w:w="72" w:type="dxa"/>
              <w:right w:w="115" w:type="dxa"/>
            </w:tcMar>
            <w:vAlign w:val="center"/>
          </w:tcPr>
          <w:p w14:paraId="21DF73A5"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14644E9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6726F16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5C080FB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Q22_0330_01a </w:t>
            </w:r>
          </w:p>
          <w:p w14:paraId="3C50307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In regard to the Environmental Manual: Asbestos - Section 7 requires that an asbestos survey must be performed on all buildings scheduled for rehabilitation.  Since asbestos was banned in 1989, there is no chance that a property built after 1989 would contain asbestos. In our case, the buildings were placed in service is 2008; is a visual survey sufficient by the Environmental Professional or does actual sampling need to be performed?  The cost to sample for asbestos is not warranted. </w:t>
            </w:r>
          </w:p>
          <w:p w14:paraId="6B5FC2D5" w14:textId="77777777" w:rsidR="00B24E0A" w:rsidRPr="007424E0" w:rsidRDefault="00B24E0A" w:rsidP="000F6D48">
            <w:pPr>
              <w:textAlignment w:val="baseline"/>
              <w:rPr>
                <w:rFonts w:ascii="Times New Roman" w:eastAsia="Times New Roman" w:hAnsi="Times New Roman" w:cs="Times New Roman"/>
                <w:sz w:val="20"/>
                <w:szCs w:val="20"/>
              </w:rPr>
            </w:pPr>
          </w:p>
          <w:p w14:paraId="53C2466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xml:space="preserve">: </w:t>
            </w:r>
          </w:p>
          <w:p w14:paraId="5F140CA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asbestos ban regulation issued by EPA in 1989 was overturned by the court and therefore only applies to a few specific asbestos-containing materials. EPA’s National Emission Standard for Hazardous Air Pollutants (NESHAP) requires an asbestos survey prior to any renovation or demolition regardless of the date of construction. The residential structures, or the portion of the structures that will be demolished or renovated, must be thoroughly inspected for the presence of asbestos, including Category I and Category II non-friable ACM.</w:t>
            </w:r>
          </w:p>
        </w:tc>
      </w:tr>
      <w:tr w:rsidR="00B24E0A" w:rsidRPr="007424E0" w14:paraId="3130E3DB" w14:textId="77777777" w:rsidTr="64301FE8">
        <w:trPr>
          <w:jc w:val="center"/>
        </w:trPr>
        <w:tc>
          <w:tcPr>
            <w:tcW w:w="1697" w:type="dxa"/>
            <w:shd w:val="clear" w:color="auto" w:fill="auto"/>
            <w:tcMar>
              <w:top w:w="72" w:type="dxa"/>
              <w:left w:w="115" w:type="dxa"/>
              <w:bottom w:w="72" w:type="dxa"/>
              <w:right w:w="115" w:type="dxa"/>
            </w:tcMar>
            <w:vAlign w:val="center"/>
          </w:tcPr>
          <w:p w14:paraId="2068B50D"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6BF6870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6BA78A3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56F068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F5A1DB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Q22_0323_01 </w:t>
            </w:r>
          </w:p>
          <w:p w14:paraId="1F32E9E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I am hoping to get clarity on the Certifying Entity responsible for meeting </w:t>
            </w:r>
            <w:r w:rsidRPr="007424E0">
              <w:rPr>
                <w:rFonts w:ascii="Times New Roman" w:eastAsia="Times New Roman" w:hAnsi="Times New Roman" w:cs="Times New Roman"/>
                <w:b/>
                <w:bCs/>
                <w:sz w:val="20"/>
                <w:szCs w:val="20"/>
              </w:rPr>
              <w:t>(Threshold Criteria) Experience, Capacity and Performance Requirements for General Partner and Developer Entities, C. Requirements for Experience</w:t>
            </w:r>
            <w:r w:rsidRPr="007424E0">
              <w:rPr>
                <w:rFonts w:ascii="Times New Roman" w:eastAsia="Times New Roman" w:hAnsi="Times New Roman" w:cs="Times New Roman"/>
                <w:sz w:val="20"/>
                <w:szCs w:val="20"/>
              </w:rPr>
              <w:t>.” Can qualifying projects be outside of Georgia? </w:t>
            </w:r>
          </w:p>
          <w:p w14:paraId="7F44C08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B9BB57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6F8C902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requirements for experience (certifying entity) in the above-listed subsection can be met with Housing Tax Credit developments in any state.</w:t>
            </w:r>
          </w:p>
          <w:p w14:paraId="7E8436A2"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5BA45E2E" w14:textId="77777777" w:rsidTr="64301FE8">
        <w:trPr>
          <w:jc w:val="center"/>
        </w:trPr>
        <w:tc>
          <w:tcPr>
            <w:tcW w:w="1697" w:type="dxa"/>
            <w:shd w:val="clear" w:color="auto" w:fill="auto"/>
            <w:tcMar>
              <w:top w:w="72" w:type="dxa"/>
              <w:left w:w="115" w:type="dxa"/>
              <w:bottom w:w="72" w:type="dxa"/>
              <w:right w:w="115" w:type="dxa"/>
            </w:tcMar>
            <w:vAlign w:val="center"/>
          </w:tcPr>
          <w:p w14:paraId="3BA21DE7"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561FC7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2B200B8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766CB6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0D96F3D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Q22_0216_08</w:t>
            </w:r>
            <w:r w:rsidRPr="007424E0">
              <w:rPr>
                <w:rStyle w:val="eop"/>
                <w:sz w:val="20"/>
                <w:szCs w:val="20"/>
              </w:rPr>
              <w:t>  </w:t>
            </w:r>
          </w:p>
          <w:p w14:paraId="7315070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The QAP states in </w:t>
            </w:r>
            <w:r w:rsidRPr="007424E0">
              <w:rPr>
                <w:rStyle w:val="normaltextrun"/>
                <w:b/>
                <w:bCs/>
                <w:sz w:val="20"/>
                <w:szCs w:val="20"/>
              </w:rPr>
              <w:t>Scoring, Minority- and Women-Owned Business Engagement, A. Engagement Commitment and Reporting</w:t>
            </w:r>
            <w:r w:rsidRPr="007424E0">
              <w:rPr>
                <w:rStyle w:val="normaltextrun"/>
                <w:sz w:val="20"/>
                <w:szCs w:val="20"/>
              </w:rPr>
              <w:t>:</w:t>
            </w:r>
            <w:r w:rsidRPr="007424E0">
              <w:rPr>
                <w:rStyle w:val="eop"/>
                <w:sz w:val="20"/>
                <w:szCs w:val="20"/>
              </w:rPr>
              <w:t> </w:t>
            </w:r>
          </w:p>
          <w:p w14:paraId="08BC3AF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382DF276" w14:textId="77777777" w:rsidR="00B24E0A" w:rsidRPr="007424E0" w:rsidRDefault="00B24E0A" w:rsidP="000F6D48">
            <w:pPr>
              <w:pStyle w:val="paragraph"/>
              <w:spacing w:before="0" w:beforeAutospacing="0" w:after="0" w:afterAutospacing="0"/>
              <w:ind w:left="360"/>
              <w:textAlignment w:val="baseline"/>
              <w:rPr>
                <w:sz w:val="20"/>
                <w:szCs w:val="20"/>
              </w:rPr>
            </w:pPr>
            <w:r w:rsidRPr="007424E0">
              <w:rPr>
                <w:rStyle w:val="normaltextrun"/>
                <w:i/>
                <w:iCs/>
                <w:sz w:val="20"/>
                <w:szCs w:val="20"/>
              </w:rPr>
              <w:t>“Applicant commits to:</w:t>
            </w:r>
            <w:r w:rsidRPr="007424E0">
              <w:rPr>
                <w:rStyle w:val="eop"/>
                <w:sz w:val="20"/>
                <w:szCs w:val="20"/>
              </w:rPr>
              <w:t> </w:t>
            </w:r>
          </w:p>
          <w:p w14:paraId="55BB7A93" w14:textId="77777777" w:rsidR="00B24E0A" w:rsidRPr="007424E0" w:rsidRDefault="00B24E0A" w:rsidP="000F6D48">
            <w:pPr>
              <w:pStyle w:val="paragraph"/>
              <w:numPr>
                <w:ilvl w:val="0"/>
                <w:numId w:val="18"/>
              </w:numPr>
              <w:spacing w:before="0" w:beforeAutospacing="0" w:after="0" w:afterAutospacing="0"/>
              <w:ind w:left="1080" w:firstLine="0"/>
              <w:textAlignment w:val="baseline"/>
              <w:rPr>
                <w:sz w:val="20"/>
                <w:szCs w:val="20"/>
              </w:rPr>
            </w:pPr>
            <w:r w:rsidRPr="007424E0">
              <w:rPr>
                <w:rStyle w:val="normaltextrun"/>
                <w:i/>
                <w:iCs/>
                <w:sz w:val="20"/>
                <w:szCs w:val="20"/>
              </w:rPr>
              <w:t>Engage QBs in the development or operation of the proposed property in amounts equal to approximately 5% of total construction hard costs as certified by the Independent Auditor Report in the Final Allocation Application.”</w:t>
            </w:r>
            <w:r w:rsidRPr="007424E0">
              <w:rPr>
                <w:rStyle w:val="eop"/>
                <w:sz w:val="20"/>
                <w:szCs w:val="20"/>
              </w:rPr>
              <w:t> </w:t>
            </w:r>
          </w:p>
          <w:p w14:paraId="145A2DD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29DAC81"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If the General Contractor employs sufficient qualified subcontractors who meet the NAICS requirements, and these subcontractors perform 5% or more of the audited hard construction costs, would the project then meet the criteria of A. Engagement Commitment and Reporting and receive the two points?</w:t>
            </w:r>
            <w:r w:rsidRPr="007424E0">
              <w:rPr>
                <w:rStyle w:val="eop"/>
                <w:sz w:val="20"/>
                <w:szCs w:val="20"/>
              </w:rPr>
              <w:t> </w:t>
            </w:r>
          </w:p>
          <w:p w14:paraId="55EFC66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A9C1D3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w:t>
            </w:r>
            <w:r w:rsidRPr="007424E0">
              <w:rPr>
                <w:rStyle w:val="normaltextrun"/>
                <w:strike/>
                <w:sz w:val="20"/>
                <w:szCs w:val="20"/>
              </w:rPr>
              <w:t> </w:t>
            </w:r>
            <w:r w:rsidRPr="007424E0">
              <w:rPr>
                <w:rStyle w:val="eop"/>
                <w:sz w:val="20"/>
                <w:szCs w:val="20"/>
              </w:rPr>
              <w:t> </w:t>
            </w:r>
          </w:p>
          <w:p w14:paraId="021983C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QAP does not disallow subcontractors. Therefore, expenses paid to subcontractors that otherwise meet all QAP requirements under this section related to QBs are eligible to contribute towards the 5%. For example, if a General Contractor is not a QB, but three of the subcontractors are, then the expenses paid to the three subcontracting QBs are allowable expenses for contributing to the 5%.</w:t>
            </w:r>
            <w:r w:rsidRPr="007424E0">
              <w:rPr>
                <w:rStyle w:val="eop"/>
                <w:sz w:val="20"/>
                <w:szCs w:val="20"/>
              </w:rPr>
              <w:t> </w:t>
            </w:r>
          </w:p>
          <w:p w14:paraId="27E01C24"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7991FC91" w14:textId="77777777" w:rsidTr="64301FE8">
        <w:trPr>
          <w:jc w:val="center"/>
        </w:trPr>
        <w:tc>
          <w:tcPr>
            <w:tcW w:w="1697" w:type="dxa"/>
            <w:shd w:val="clear" w:color="auto" w:fill="auto"/>
            <w:tcMar>
              <w:top w:w="72" w:type="dxa"/>
              <w:left w:w="115" w:type="dxa"/>
              <w:bottom w:w="72" w:type="dxa"/>
              <w:right w:w="115" w:type="dxa"/>
            </w:tcMar>
            <w:vAlign w:val="center"/>
          </w:tcPr>
          <w:p w14:paraId="4BBDF808"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4/7/22</w:t>
            </w:r>
          </w:p>
        </w:tc>
        <w:tc>
          <w:tcPr>
            <w:tcW w:w="2663" w:type="dxa"/>
            <w:shd w:val="clear" w:color="auto" w:fill="auto"/>
            <w:tcMar>
              <w:top w:w="72" w:type="dxa"/>
              <w:left w:w="115" w:type="dxa"/>
              <w:bottom w:w="72" w:type="dxa"/>
              <w:right w:w="115" w:type="dxa"/>
            </w:tcMar>
            <w:vAlign w:val="center"/>
          </w:tcPr>
          <w:p w14:paraId="51E1254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455FA42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1294F1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Minority- and Women-Owned Business Engagement</w:t>
            </w:r>
          </w:p>
        </w:tc>
        <w:tc>
          <w:tcPr>
            <w:tcW w:w="9585" w:type="dxa"/>
            <w:shd w:val="clear" w:color="auto" w:fill="auto"/>
            <w:tcMar>
              <w:top w:w="72" w:type="dxa"/>
              <w:left w:w="115" w:type="dxa"/>
              <w:bottom w:w="72" w:type="dxa"/>
              <w:right w:w="115" w:type="dxa"/>
            </w:tcMar>
            <w:vAlign w:val="center"/>
          </w:tcPr>
          <w:p w14:paraId="28CB5CC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Q22_0223_05 </w:t>
            </w:r>
          </w:p>
          <w:p w14:paraId="1CB20B3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non-profits qualify as a WBE/MBE? </w:t>
            </w:r>
          </w:p>
          <w:p w14:paraId="75651DA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3304C2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EE55AC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does not impose any boundaries around eligibility other than what is explicitly stated in the Minority- and Women-Owned Business Engagement Policy posted to the DCA website under </w:t>
            </w:r>
            <w:r w:rsidRPr="007424E0">
              <w:rPr>
                <w:rFonts w:ascii="Times New Roman" w:eastAsia="Times New Roman" w:hAnsi="Times New Roman" w:cs="Times New Roman"/>
                <w:i/>
                <w:iCs/>
                <w:sz w:val="20"/>
                <w:szCs w:val="20"/>
              </w:rPr>
              <w:t>Scoring Documents and Data</w:t>
            </w:r>
            <w:r w:rsidRPr="007424E0">
              <w:rPr>
                <w:rFonts w:ascii="Times New Roman" w:eastAsia="Times New Roman" w:hAnsi="Times New Roman" w:cs="Times New Roman"/>
                <w:sz w:val="20"/>
                <w:szCs w:val="20"/>
              </w:rPr>
              <w:t xml:space="preserve"> (</w:t>
            </w:r>
            <w:hyperlink r:id="rId52"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w:t>
            </w:r>
          </w:p>
          <w:p w14:paraId="2FD8D83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CEA9D5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Organizations interested in the certification programs should review the information posted on each program’s website and where anything is unclear, please direct those questions to the certification programs. DCA is not able to clarify policies for non-DCA programs.  </w:t>
            </w:r>
          </w:p>
          <w:p w14:paraId="3FA35F76"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068DEC2E" w14:textId="77777777" w:rsidTr="64301FE8">
        <w:trPr>
          <w:jc w:val="center"/>
        </w:trPr>
        <w:tc>
          <w:tcPr>
            <w:tcW w:w="1697" w:type="dxa"/>
            <w:shd w:val="clear" w:color="auto" w:fill="auto"/>
            <w:tcMar>
              <w:top w:w="72" w:type="dxa"/>
              <w:left w:w="115" w:type="dxa"/>
              <w:bottom w:w="72" w:type="dxa"/>
              <w:right w:w="115" w:type="dxa"/>
            </w:tcMar>
            <w:vAlign w:val="center"/>
          </w:tcPr>
          <w:p w14:paraId="70934A8C"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5D9FD11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5724954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 Environmental Requirements</w:t>
            </w:r>
          </w:p>
        </w:tc>
        <w:tc>
          <w:tcPr>
            <w:tcW w:w="9585" w:type="dxa"/>
            <w:shd w:val="clear" w:color="auto" w:fill="auto"/>
            <w:tcMar>
              <w:top w:w="72" w:type="dxa"/>
              <w:left w:w="115" w:type="dxa"/>
              <w:bottom w:w="72" w:type="dxa"/>
              <w:right w:w="115" w:type="dxa"/>
            </w:tcMar>
            <w:vAlign w:val="center"/>
          </w:tcPr>
          <w:p w14:paraId="317E9FC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Q22_0329_02 </w:t>
            </w:r>
          </w:p>
          <w:p w14:paraId="61C5565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We are working on an acquisition rehabilitation, and we received Phase I ESA, dated 5/13/21. We are engaging an update for the report since it will exceed 6 months prior to the firm application. Does DCA require that we also receive an updated noise assessment and STC Calculation &amp;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w:t>
            </w:r>
          </w:p>
          <w:p w14:paraId="6A8EEDE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84A632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8CAC90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DCA 2022 Environmental Manual, Noise Assessment must be completed within one hundred eighty (180) days before Application submission (P.27). An updated complete noise assessment including STC Calculation, </w:t>
            </w:r>
            <w:proofErr w:type="spellStart"/>
            <w:r w:rsidRPr="007424E0">
              <w:rPr>
                <w:rFonts w:ascii="Times New Roman" w:eastAsia="Times New Roman" w:hAnsi="Times New Roman" w:cs="Times New Roman"/>
                <w:sz w:val="20"/>
                <w:szCs w:val="20"/>
              </w:rPr>
              <w:t>STraCAT</w:t>
            </w:r>
            <w:proofErr w:type="spellEnd"/>
            <w:r w:rsidRPr="007424E0">
              <w:rPr>
                <w:rFonts w:ascii="Times New Roman" w:eastAsia="Times New Roman" w:hAnsi="Times New Roman" w:cs="Times New Roman"/>
                <w:sz w:val="20"/>
                <w:szCs w:val="20"/>
              </w:rPr>
              <w:t xml:space="preserve"> Analysis &amp; 10-year roadway projections is required. </w:t>
            </w:r>
          </w:p>
        </w:tc>
      </w:tr>
      <w:tr w:rsidR="00B24E0A" w:rsidRPr="007424E0" w14:paraId="3DA9C626" w14:textId="77777777" w:rsidTr="64301FE8">
        <w:trPr>
          <w:jc w:val="center"/>
        </w:trPr>
        <w:tc>
          <w:tcPr>
            <w:tcW w:w="1697" w:type="dxa"/>
            <w:shd w:val="clear" w:color="auto" w:fill="auto"/>
            <w:tcMar>
              <w:top w:w="72" w:type="dxa"/>
              <w:left w:w="115" w:type="dxa"/>
              <w:bottom w:w="72" w:type="dxa"/>
              <w:right w:w="115" w:type="dxa"/>
            </w:tcMar>
            <w:vAlign w:val="center"/>
          </w:tcPr>
          <w:p w14:paraId="0DAA58C3"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5B1BDF3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2.07</w:t>
            </w:r>
          </w:p>
          <w:p w14:paraId="574F51E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Environmental Requirements </w:t>
            </w:r>
          </w:p>
        </w:tc>
        <w:tc>
          <w:tcPr>
            <w:tcW w:w="9585" w:type="dxa"/>
            <w:shd w:val="clear" w:color="auto" w:fill="auto"/>
            <w:tcMar>
              <w:top w:w="72" w:type="dxa"/>
              <w:left w:w="115" w:type="dxa"/>
              <w:bottom w:w="72" w:type="dxa"/>
              <w:right w:w="115" w:type="dxa"/>
            </w:tcMar>
            <w:vAlign w:val="center"/>
          </w:tcPr>
          <w:p w14:paraId="19057CE9"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Q22_0330_01b </w:t>
            </w:r>
          </w:p>
          <w:p w14:paraId="0295AB6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regard to the Environmental Manual: Cultural Resources Survey - Section 12.3. states that "For all projects, if no literature/records review/report (literature review) or Phase I Cultural/Historic Resources Survey (Phase I survey) has been completed in the project area/APE in the last five years, it will be necessary, at a minimum, to conduct a literature review of the APE to determine if historic resources or archaeological sites are present."</w:t>
            </w:r>
          </w:p>
          <w:p w14:paraId="42DD16BC" w14:textId="77777777" w:rsidR="00B24E0A" w:rsidRPr="007424E0" w:rsidRDefault="00B24E0A" w:rsidP="000F6D48">
            <w:pPr>
              <w:textAlignment w:val="baseline"/>
              <w:rPr>
                <w:rFonts w:ascii="Times New Roman" w:eastAsia="Times New Roman" w:hAnsi="Times New Roman" w:cs="Times New Roman"/>
                <w:sz w:val="20"/>
                <w:szCs w:val="20"/>
              </w:rPr>
            </w:pPr>
          </w:p>
          <w:p w14:paraId="36BE0A5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Since this is part of the Historical Section, would you please confirm that this only applies to properties that are over 50 years old? In our case, we are preparing to renovate an existing project placed in service in 2008 with no new construction proposed. </w:t>
            </w:r>
          </w:p>
          <w:p w14:paraId="33A030A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377709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3826A58C"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No, the Cultural Resources Survey is a minimum document required for the S106 and GEPA review process and is required for all properties regardless of their age and construction activity. Although the proposed development is the renovation of an existing building that is less than 50 years old, therefore not considered a historic building, there could be other historic properties (archaeological and historic) located within the proposed project’s area of potential effect (APE). Historic Preservation Division will review the S106/GEPA applications and determine if the project, as proposed, will have any adverse effects on any historic properties located in the APE. </w:t>
            </w:r>
          </w:p>
        </w:tc>
      </w:tr>
      <w:tr w:rsidR="00B24E0A" w:rsidRPr="007424E0" w14:paraId="2E732892" w14:textId="77777777" w:rsidTr="64301FE8">
        <w:trPr>
          <w:jc w:val="center"/>
        </w:trPr>
        <w:tc>
          <w:tcPr>
            <w:tcW w:w="1697" w:type="dxa"/>
            <w:shd w:val="clear" w:color="auto" w:fill="auto"/>
            <w:tcMar>
              <w:top w:w="72" w:type="dxa"/>
              <w:left w:w="115" w:type="dxa"/>
              <w:bottom w:w="72" w:type="dxa"/>
              <w:right w:w="115" w:type="dxa"/>
            </w:tcMar>
            <w:vAlign w:val="center"/>
          </w:tcPr>
          <w:p w14:paraId="352374ED"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2C4968C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3.07</w:t>
            </w:r>
          </w:p>
          <w:p w14:paraId="1744D15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461EC70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Quality Education Areas</w:t>
            </w:r>
          </w:p>
        </w:tc>
        <w:tc>
          <w:tcPr>
            <w:tcW w:w="9585" w:type="dxa"/>
            <w:shd w:val="clear" w:color="auto" w:fill="auto"/>
            <w:tcMar>
              <w:top w:w="72" w:type="dxa"/>
              <w:left w:w="115" w:type="dxa"/>
              <w:bottom w:w="72" w:type="dxa"/>
              <w:right w:w="115" w:type="dxa"/>
            </w:tcMar>
            <w:vAlign w:val="center"/>
          </w:tcPr>
          <w:p w14:paraId="25C7012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Q22_0318_01</w:t>
            </w:r>
            <w:r w:rsidRPr="007424E0">
              <w:rPr>
                <w:rStyle w:val="eop"/>
                <w:sz w:val="20"/>
                <w:szCs w:val="20"/>
              </w:rPr>
              <w:t> </w:t>
            </w:r>
          </w:p>
          <w:p w14:paraId="5E8447A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With regards to Section VII. Quality Education Areas and the Option C - Scoring Data published on 2/14, we are noticing instances where the same school will show up in multiple rows with different CCRPI data. Can you explain how we differentiate the school data and what data should be used when scoring sites that fall in a school zone that is showing different data for the same school?</w:t>
            </w:r>
            <w:r w:rsidRPr="007424E0">
              <w:rPr>
                <w:rStyle w:val="eop"/>
                <w:sz w:val="20"/>
                <w:szCs w:val="20"/>
              </w:rPr>
              <w:t> </w:t>
            </w:r>
          </w:p>
          <w:p w14:paraId="13BDAFA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F0784C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0E7DEFE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This typically occurs when the Department of Education (DOE) has changed the identifying information for a particular school from one year to the next. In such instances, applicants are encouraged to do the following:</w:t>
            </w:r>
            <w:r w:rsidRPr="007424E0">
              <w:rPr>
                <w:rStyle w:val="eop"/>
                <w:sz w:val="20"/>
                <w:szCs w:val="20"/>
              </w:rPr>
              <w:t> </w:t>
            </w:r>
            <w:r w:rsidRPr="007424E0">
              <w:rPr>
                <w:rStyle w:val="eop"/>
                <w:sz w:val="20"/>
                <w:szCs w:val="20"/>
              </w:rPr>
              <w:br/>
            </w:r>
          </w:p>
          <w:p w14:paraId="106A604B" w14:textId="77777777" w:rsidR="00B24E0A" w:rsidRPr="007424E0" w:rsidRDefault="00B24E0A" w:rsidP="000F6D48">
            <w:pPr>
              <w:pStyle w:val="paragraph"/>
              <w:numPr>
                <w:ilvl w:val="0"/>
                <w:numId w:val="14"/>
              </w:numPr>
              <w:spacing w:before="0" w:beforeAutospacing="0" w:after="0" w:afterAutospacing="0"/>
              <w:ind w:left="1080" w:firstLine="0"/>
              <w:textAlignment w:val="baseline"/>
              <w:rPr>
                <w:sz w:val="20"/>
                <w:szCs w:val="20"/>
              </w:rPr>
            </w:pPr>
            <w:r w:rsidRPr="007424E0">
              <w:rPr>
                <w:rStyle w:val="normaltextrun"/>
                <w:sz w:val="20"/>
                <w:szCs w:val="20"/>
              </w:rPr>
              <w:t>Confirm the score for each year by referencing the original DOE data for a given year.</w:t>
            </w:r>
            <w:r w:rsidRPr="007424E0">
              <w:rPr>
                <w:rStyle w:val="eop"/>
                <w:sz w:val="20"/>
                <w:szCs w:val="20"/>
              </w:rPr>
              <w:t> </w:t>
            </w:r>
          </w:p>
          <w:p w14:paraId="5BFCE720" w14:textId="77777777" w:rsidR="00B24E0A" w:rsidRPr="007424E0" w:rsidRDefault="00B24E0A" w:rsidP="000F6D48">
            <w:pPr>
              <w:pStyle w:val="paragraph"/>
              <w:numPr>
                <w:ilvl w:val="0"/>
                <w:numId w:val="15"/>
              </w:numPr>
              <w:spacing w:before="0" w:beforeAutospacing="0" w:after="0" w:afterAutospacing="0"/>
              <w:ind w:left="1800" w:firstLine="0"/>
              <w:textAlignment w:val="baseline"/>
              <w:rPr>
                <w:sz w:val="20"/>
                <w:szCs w:val="20"/>
              </w:rPr>
            </w:pPr>
            <w:hyperlink r:id="rId53" w:tgtFrame="_blank" w:history="1">
              <w:r w:rsidRPr="007424E0">
                <w:rPr>
                  <w:rStyle w:val="normaltextrun"/>
                  <w:sz w:val="20"/>
                  <w:szCs w:val="20"/>
                  <w:u w:val="single"/>
                </w:rPr>
                <w:t>(2018 and 2019 data) “College and Career Ready Performance Index”</w:t>
              </w:r>
            </w:hyperlink>
            <w:r w:rsidRPr="007424E0">
              <w:rPr>
                <w:rStyle w:val="eop"/>
                <w:sz w:val="20"/>
                <w:szCs w:val="20"/>
              </w:rPr>
              <w:t> </w:t>
            </w:r>
          </w:p>
          <w:p w14:paraId="103B9437" w14:textId="77777777" w:rsidR="00B24E0A" w:rsidRPr="007424E0" w:rsidRDefault="00B24E0A" w:rsidP="000F6D48">
            <w:pPr>
              <w:pStyle w:val="paragraph"/>
              <w:numPr>
                <w:ilvl w:val="0"/>
                <w:numId w:val="16"/>
              </w:numPr>
              <w:spacing w:before="0" w:beforeAutospacing="0" w:after="0" w:afterAutospacing="0"/>
              <w:ind w:left="1800" w:firstLine="0"/>
              <w:textAlignment w:val="baseline"/>
              <w:rPr>
                <w:sz w:val="20"/>
                <w:szCs w:val="20"/>
              </w:rPr>
            </w:pPr>
            <w:hyperlink r:id="rId54" w:tgtFrame="_blank" w:history="1">
              <w:r w:rsidRPr="007424E0">
                <w:rPr>
                  <w:rStyle w:val="normaltextrun"/>
                  <w:sz w:val="20"/>
                  <w:szCs w:val="20"/>
                  <w:u w:val="single"/>
                </w:rPr>
                <w:t>(2015 through 2017 data) “Archived CCRPI Data Files”</w:t>
              </w:r>
            </w:hyperlink>
            <w:r w:rsidRPr="007424E0">
              <w:rPr>
                <w:rStyle w:val="eop"/>
                <w:sz w:val="20"/>
                <w:szCs w:val="20"/>
              </w:rPr>
              <w:t> </w:t>
            </w:r>
          </w:p>
          <w:p w14:paraId="58B1B06F" w14:textId="77777777" w:rsidR="00B24E0A" w:rsidRPr="007424E0" w:rsidRDefault="00B24E0A"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Report the school and associated evidence to DCA through the Q&amp;A process. This allows the applicant to confirm whether DCA staff agree with the applicant's assessment prior to the application submission deadline.</w:t>
            </w:r>
            <w:r w:rsidRPr="007424E0">
              <w:rPr>
                <w:rStyle w:val="eop"/>
                <w:sz w:val="20"/>
                <w:szCs w:val="20"/>
              </w:rPr>
              <w:t> </w:t>
            </w:r>
          </w:p>
          <w:p w14:paraId="33CA83D7" w14:textId="77777777" w:rsidR="00B24E0A" w:rsidRPr="007424E0" w:rsidRDefault="00B24E0A" w:rsidP="000F6D48">
            <w:pPr>
              <w:pStyle w:val="paragraph"/>
              <w:numPr>
                <w:ilvl w:val="0"/>
                <w:numId w:val="17"/>
              </w:numPr>
              <w:spacing w:before="0" w:beforeAutospacing="0" w:after="0" w:afterAutospacing="0"/>
              <w:ind w:left="1080" w:firstLine="0"/>
              <w:textAlignment w:val="baseline"/>
              <w:rPr>
                <w:sz w:val="20"/>
                <w:szCs w:val="20"/>
              </w:rPr>
            </w:pPr>
            <w:r w:rsidRPr="007424E0">
              <w:rPr>
                <w:rStyle w:val="normaltextrun"/>
                <w:sz w:val="20"/>
                <w:szCs w:val="20"/>
              </w:rPr>
              <w:t>Submit evidence with your tax credit application for any year(s) that a CCRPI score is incorrectly or inconsistently represented in “Option C-Scoring Data.xlsx”.</w:t>
            </w:r>
            <w:r w:rsidRPr="007424E0">
              <w:rPr>
                <w:rStyle w:val="eop"/>
                <w:sz w:val="20"/>
                <w:szCs w:val="20"/>
              </w:rPr>
              <w:t> </w:t>
            </w:r>
          </w:p>
          <w:p w14:paraId="7B30B00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5DF314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The above instructions are from </w:t>
            </w:r>
            <w:r w:rsidRPr="007424E0">
              <w:rPr>
                <w:rStyle w:val="normaltextrun"/>
                <w:i/>
                <w:iCs/>
                <w:sz w:val="20"/>
                <w:szCs w:val="20"/>
              </w:rPr>
              <w:t xml:space="preserve">Quality Education Areas, Scoring Instructions </w:t>
            </w:r>
            <w:r w:rsidRPr="007424E0">
              <w:rPr>
                <w:rStyle w:val="normaltextrun"/>
                <w:sz w:val="20"/>
                <w:szCs w:val="20"/>
              </w:rPr>
              <w:t>posted previously to the DCA website (</w:t>
            </w:r>
            <w:hyperlink r:id="rId55" w:tgtFrame="_blank" w:history="1">
              <w:r w:rsidRPr="007424E0">
                <w:rPr>
                  <w:rStyle w:val="normaltextrun"/>
                  <w:sz w:val="20"/>
                  <w:szCs w:val="20"/>
                  <w:u w:val="single"/>
                </w:rPr>
                <w:t>click here</w:t>
              </w:r>
            </w:hyperlink>
            <w:r w:rsidRPr="007424E0">
              <w:rPr>
                <w:rStyle w:val="normaltextrun"/>
                <w:sz w:val="20"/>
                <w:szCs w:val="20"/>
              </w:rPr>
              <w:t>).</w:t>
            </w:r>
            <w:r w:rsidRPr="007424E0">
              <w:rPr>
                <w:rStyle w:val="eop"/>
                <w:sz w:val="20"/>
                <w:szCs w:val="20"/>
              </w:rPr>
              <w:t> </w:t>
            </w:r>
          </w:p>
        </w:tc>
      </w:tr>
      <w:tr w:rsidR="00B24E0A" w:rsidRPr="007424E0" w14:paraId="767359EB" w14:textId="77777777" w:rsidTr="64301FE8">
        <w:trPr>
          <w:jc w:val="center"/>
        </w:trPr>
        <w:tc>
          <w:tcPr>
            <w:tcW w:w="1697" w:type="dxa"/>
            <w:shd w:val="clear" w:color="auto" w:fill="auto"/>
            <w:tcMar>
              <w:top w:w="72" w:type="dxa"/>
              <w:left w:w="115" w:type="dxa"/>
              <w:bottom w:w="72" w:type="dxa"/>
              <w:right w:w="115" w:type="dxa"/>
            </w:tcMar>
            <w:vAlign w:val="center"/>
          </w:tcPr>
          <w:p w14:paraId="12E83B77"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4/5/22</w:t>
            </w:r>
          </w:p>
        </w:tc>
        <w:tc>
          <w:tcPr>
            <w:tcW w:w="2663" w:type="dxa"/>
            <w:shd w:val="clear" w:color="auto" w:fill="auto"/>
            <w:tcMar>
              <w:top w:w="72" w:type="dxa"/>
              <w:left w:w="115" w:type="dxa"/>
              <w:bottom w:w="72" w:type="dxa"/>
              <w:right w:w="115" w:type="dxa"/>
            </w:tcMar>
            <w:vAlign w:val="center"/>
          </w:tcPr>
          <w:p w14:paraId="723DF03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4D35395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0DE64E1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574DE59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Q22_0331_01</w:t>
            </w:r>
            <w:r w:rsidRPr="007424E0">
              <w:rPr>
                <w:rStyle w:val="eop"/>
                <w:sz w:val="20"/>
                <w:szCs w:val="20"/>
              </w:rPr>
              <w:t> </w:t>
            </w:r>
          </w:p>
          <w:p w14:paraId="626E0F59"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Project Specific Question:  Will the following qualify for the 4 Favorable Financing Points under 2022 QAP Scoring Section </w:t>
            </w:r>
            <w:r w:rsidRPr="007424E0">
              <w:rPr>
                <w:rStyle w:val="contextualspellingandgrammarerror"/>
                <w:rFonts w:eastAsiaTheme="majorEastAsia"/>
                <w:sz w:val="20"/>
                <w:szCs w:val="20"/>
              </w:rPr>
              <w:t>XXI?|</w:t>
            </w:r>
            <w:r w:rsidRPr="007424E0">
              <w:rPr>
                <w:rStyle w:val="normaltextrun"/>
                <w:sz w:val="20"/>
                <w:szCs w:val="20"/>
              </w:rPr>
              <w:t>|1. City grants/loans [_____________] to the City Housing Authority for the purpose of lending the funds to the Applicant under Scoring Section XXI.A. The City Housing Authority would serve as the conduit lender since the actual City is limited under Georgia law on its ability to make loans directly (whereas the City can make loans through its authorities)…</w:t>
            </w:r>
            <w:r w:rsidRPr="007424E0">
              <w:rPr>
                <w:rStyle w:val="normaltextrun"/>
                <w:i/>
                <w:iCs/>
                <w:sz w:val="20"/>
                <w:szCs w:val="20"/>
              </w:rPr>
              <w:t>[remainder of question removed]</w:t>
            </w:r>
            <w:r w:rsidRPr="007424E0">
              <w:rPr>
                <w:rStyle w:val="normaltextrun"/>
                <w:sz w:val="20"/>
                <w:szCs w:val="20"/>
              </w:rPr>
              <w:t xml:space="preserve"> </w:t>
            </w:r>
          </w:p>
          <w:p w14:paraId="334FB155" w14:textId="77777777" w:rsidR="00B24E0A" w:rsidRPr="007424E0" w:rsidRDefault="00B24E0A" w:rsidP="000F6D48">
            <w:pPr>
              <w:pStyle w:val="paragraph"/>
              <w:spacing w:before="0" w:beforeAutospacing="0" w:after="0" w:afterAutospacing="0"/>
              <w:textAlignment w:val="baseline"/>
              <w:rPr>
                <w:sz w:val="20"/>
                <w:szCs w:val="20"/>
              </w:rPr>
            </w:pPr>
          </w:p>
          <w:p w14:paraId="1352E83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EA353C1" w14:textId="77777777" w:rsidR="00B24E0A" w:rsidRPr="007424E0" w:rsidRDefault="00B24E0A" w:rsidP="000F6D48">
            <w:pPr>
              <w:pStyle w:val="paragraph"/>
              <w:spacing w:before="0" w:beforeAutospacing="0" w:after="0" w:afterAutospacing="0"/>
              <w:textAlignment w:val="baseline"/>
              <w:rPr>
                <w:rStyle w:val="eop"/>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0AD101C9" w14:textId="77777777" w:rsidR="00B24E0A" w:rsidRPr="007424E0" w:rsidRDefault="00B24E0A" w:rsidP="000F6D48">
            <w:pPr>
              <w:pStyle w:val="paragraph"/>
              <w:spacing w:before="0" w:beforeAutospacing="0" w:after="0" w:afterAutospacing="0"/>
              <w:textAlignment w:val="baseline"/>
              <w:rPr>
                <w:sz w:val="20"/>
                <w:szCs w:val="20"/>
              </w:rPr>
            </w:pPr>
            <w:r w:rsidRPr="007424E0">
              <w:rPr>
                <w:sz w:val="20"/>
                <w:szCs w:val="20"/>
              </w:rPr>
              <w:t xml:space="preserve">First, please note that per </w:t>
            </w:r>
            <w:r w:rsidRPr="007424E0">
              <w:rPr>
                <w:i/>
                <w:iCs/>
                <w:sz w:val="20"/>
                <w:szCs w:val="20"/>
              </w:rPr>
              <w:t>Part I: Overview</w:t>
            </w:r>
            <w:r w:rsidRPr="007424E0">
              <w:rPr>
                <w:sz w:val="20"/>
                <w:szCs w:val="20"/>
              </w:rPr>
              <w:t xml:space="preserve"> of this Q&amp;A document, DCA does not have a separate process for project-specific questions. All questions are addressed publicly. </w:t>
            </w:r>
          </w:p>
          <w:p w14:paraId="0F3E3A70" w14:textId="77777777" w:rsidR="00B24E0A" w:rsidRPr="007424E0" w:rsidRDefault="00B24E0A" w:rsidP="000F6D48">
            <w:pPr>
              <w:pStyle w:val="paragraph"/>
              <w:spacing w:before="0" w:beforeAutospacing="0" w:after="0" w:afterAutospacing="0"/>
              <w:textAlignment w:val="baseline"/>
              <w:rPr>
                <w:sz w:val="20"/>
                <w:szCs w:val="20"/>
              </w:rPr>
            </w:pPr>
            <w:r w:rsidRPr="007424E0">
              <w:rPr>
                <w:sz w:val="20"/>
                <w:szCs w:val="20"/>
              </w:rPr>
              <w:t xml:space="preserve"> </w:t>
            </w:r>
          </w:p>
          <w:p w14:paraId="615499ED" w14:textId="77777777" w:rsidR="00B24E0A" w:rsidRPr="007424E0" w:rsidRDefault="00B24E0A" w:rsidP="000F6D48">
            <w:pPr>
              <w:pStyle w:val="paragraph"/>
              <w:spacing w:before="0" w:beforeAutospacing="0" w:after="0" w:afterAutospacing="0"/>
              <w:textAlignment w:val="baseline"/>
              <w:rPr>
                <w:rStyle w:val="eop"/>
                <w:sz w:val="20"/>
                <w:szCs w:val="20"/>
              </w:rPr>
            </w:pPr>
            <w:r w:rsidRPr="007424E0">
              <w:rPr>
                <w:rStyle w:val="normaltextrun"/>
                <w:sz w:val="20"/>
                <w:szCs w:val="20"/>
              </w:rPr>
              <w:t xml:space="preserve">We have included the portion of the question above that asks: “Do Public Housing Authorities qualify as a ‘local’ entity for purposes of subsection </w:t>
            </w:r>
            <w:r w:rsidRPr="007424E0">
              <w:rPr>
                <w:rStyle w:val="normaltextrun"/>
                <w:b/>
                <w:bCs/>
                <w:sz w:val="20"/>
                <w:szCs w:val="20"/>
              </w:rPr>
              <w:t>A. Qualifying Sources for Favorable Financing</w:t>
            </w:r>
            <w:r w:rsidRPr="007424E0">
              <w:rPr>
                <w:rStyle w:val="normaltextrun"/>
                <w:sz w:val="20"/>
                <w:szCs w:val="20"/>
              </w:rPr>
              <w:t>, option 11. Other Federal, State, or local grant funds or loans?” </w:t>
            </w:r>
            <w:r w:rsidRPr="007424E0">
              <w:rPr>
                <w:rStyle w:val="eop"/>
                <w:sz w:val="20"/>
                <w:szCs w:val="20"/>
              </w:rPr>
              <w:t> </w:t>
            </w:r>
          </w:p>
          <w:p w14:paraId="05A1FEA1" w14:textId="77777777" w:rsidR="00B24E0A" w:rsidRPr="007424E0" w:rsidRDefault="00B24E0A" w:rsidP="000F6D48">
            <w:pPr>
              <w:pStyle w:val="paragraph"/>
              <w:numPr>
                <w:ilvl w:val="0"/>
                <w:numId w:val="4"/>
              </w:numPr>
              <w:spacing w:before="0" w:beforeAutospacing="0" w:after="0" w:afterAutospacing="0"/>
              <w:textAlignment w:val="baseline"/>
              <w:rPr>
                <w:sz w:val="20"/>
                <w:szCs w:val="20"/>
              </w:rPr>
            </w:pPr>
            <w:r w:rsidRPr="007424E0">
              <w:rPr>
                <w:rStyle w:val="normaltextrun"/>
                <w:sz w:val="20"/>
                <w:szCs w:val="20"/>
              </w:rPr>
              <w:t>The answer to this question is, “Yes. PHAs qualify as a ‘local’ entity for purposes of option 11.” </w:t>
            </w:r>
            <w:r w:rsidRPr="007424E0">
              <w:rPr>
                <w:rStyle w:val="eop"/>
                <w:sz w:val="20"/>
                <w:szCs w:val="20"/>
              </w:rPr>
              <w:t> </w:t>
            </w:r>
          </w:p>
          <w:p w14:paraId="32B21EB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650024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remainder of the question did not seek clarification about DCA policy. Rather, the question is seeking confirmation that specific circumstances will qualify for points. DCA does not pre-approve the eligibility of specific circumstances through the Q&amp;A process. If there is a QAP provision that is unclear given your circumstances, please re-submit the question including both the QAP provision in question and an explanation of what is ambiguous about the QAP language. </w:t>
            </w:r>
            <w:r w:rsidRPr="007424E0">
              <w:rPr>
                <w:rStyle w:val="eop"/>
                <w:sz w:val="20"/>
                <w:szCs w:val="20"/>
              </w:rPr>
              <w:t> </w:t>
            </w:r>
          </w:p>
        </w:tc>
      </w:tr>
      <w:tr w:rsidR="00B24E0A" w:rsidRPr="007424E0" w14:paraId="6E2A7CC5" w14:textId="77777777" w:rsidTr="64301FE8">
        <w:trPr>
          <w:jc w:val="center"/>
        </w:trPr>
        <w:tc>
          <w:tcPr>
            <w:tcW w:w="1697" w:type="dxa"/>
            <w:shd w:val="clear" w:color="auto" w:fill="auto"/>
            <w:tcMar>
              <w:top w:w="72" w:type="dxa"/>
              <w:left w:w="115" w:type="dxa"/>
              <w:bottom w:w="72" w:type="dxa"/>
              <w:right w:w="115" w:type="dxa"/>
            </w:tcMar>
            <w:vAlign w:val="center"/>
          </w:tcPr>
          <w:p w14:paraId="424D7233"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3022E2A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3.05</w:t>
            </w:r>
          </w:p>
          <w:p w14:paraId="455EB9A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Desirable/Undesirable Activities</w:t>
            </w:r>
          </w:p>
        </w:tc>
        <w:tc>
          <w:tcPr>
            <w:tcW w:w="9585" w:type="dxa"/>
            <w:shd w:val="clear" w:color="auto" w:fill="auto"/>
            <w:tcMar>
              <w:top w:w="72" w:type="dxa"/>
              <w:left w:w="115" w:type="dxa"/>
              <w:bottom w:w="72" w:type="dxa"/>
              <w:right w:w="115" w:type="dxa"/>
            </w:tcMar>
            <w:vAlign w:val="center"/>
          </w:tcPr>
          <w:p w14:paraId="5E04F4F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rFonts w:eastAsia="MS Mincho"/>
                <w:sz w:val="20"/>
                <w:szCs w:val="20"/>
              </w:rPr>
              <w:t xml:space="preserve">: </w:t>
            </w:r>
            <w:r w:rsidRPr="007424E0">
              <w:rPr>
                <w:rStyle w:val="normaltextrun"/>
                <w:sz w:val="20"/>
                <w:szCs w:val="20"/>
              </w:rPr>
              <w:t>Q22_0107_01</w:t>
            </w:r>
            <w:r w:rsidRPr="007424E0">
              <w:rPr>
                <w:rStyle w:val="eop"/>
                <w:sz w:val="20"/>
                <w:szCs w:val="20"/>
              </w:rPr>
              <w:t> </w:t>
            </w:r>
          </w:p>
          <w:p w14:paraId="7F37660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rFonts w:eastAsia="MS Mincho"/>
                <w:sz w:val="20"/>
                <w:szCs w:val="20"/>
              </w:rPr>
              <w:t>(</w:t>
            </w:r>
            <w:r w:rsidRPr="007424E0">
              <w:rPr>
                <w:rStyle w:val="normaltextrun"/>
                <w:b/>
                <w:bCs/>
                <w:sz w:val="20"/>
                <w:szCs w:val="20"/>
              </w:rPr>
              <w:t>Scoring Criteria) Desirable/Undesirable Activities</w:t>
            </w:r>
            <w:r w:rsidRPr="007424E0">
              <w:rPr>
                <w:rStyle w:val="normaltextrun"/>
                <w:sz w:val="20"/>
                <w:szCs w:val="20"/>
              </w:rPr>
              <w:t>, subsection</w:t>
            </w:r>
            <w:r w:rsidRPr="007424E0">
              <w:rPr>
                <w:rStyle w:val="normaltextrun"/>
                <w:rFonts w:eastAsia="MS Mincho"/>
                <w:b/>
                <w:bCs/>
                <w:sz w:val="20"/>
                <w:szCs w:val="20"/>
              </w:rPr>
              <w:t xml:space="preserve"> </w:t>
            </w:r>
            <w:r w:rsidRPr="007424E0">
              <w:rPr>
                <w:rStyle w:val="normaltextrun"/>
                <w:b/>
                <w:bCs/>
                <w:sz w:val="20"/>
                <w:szCs w:val="20"/>
              </w:rPr>
              <w:t>A. Desirable Activities, 2. Eligibility</w:t>
            </w:r>
            <w:r w:rsidRPr="007424E0">
              <w:rPr>
                <w:rStyle w:val="normaltextrun"/>
                <w:rFonts w:eastAsia="MS Mincho"/>
                <w:sz w:val="20"/>
                <w:szCs w:val="20"/>
              </w:rPr>
              <w:t xml:space="preserve"> </w:t>
            </w:r>
            <w:r w:rsidRPr="007424E0">
              <w:rPr>
                <w:rStyle w:val="normaltextrun"/>
                <w:sz w:val="20"/>
                <w:szCs w:val="20"/>
              </w:rPr>
              <w:t>option (b): “Retail/clothing/department store (full range of clothing/household items)</w:t>
            </w:r>
            <w:r w:rsidRPr="007424E0">
              <w:rPr>
                <w:rStyle w:val="normaltextrun"/>
                <w:rFonts w:eastAsia="MS Mincho"/>
                <w:sz w:val="20"/>
                <w:szCs w:val="20"/>
              </w:rPr>
              <w:t>.” </w:t>
            </w:r>
            <w:r w:rsidRPr="007424E0">
              <w:rPr>
                <w:rStyle w:val="eop"/>
                <w:rFonts w:eastAsia="MS Mincho"/>
                <w:sz w:val="20"/>
                <w:szCs w:val="20"/>
              </w:rPr>
              <w:t> </w:t>
            </w:r>
          </w:p>
          <w:p w14:paraId="0B51E56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5FDA3F3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What is defined as a </w:t>
            </w:r>
            <w:r w:rsidRPr="007424E0">
              <w:rPr>
                <w:rStyle w:val="normaltextrun"/>
                <w:rFonts w:eastAsia="MS Mincho"/>
                <w:sz w:val="20"/>
                <w:szCs w:val="20"/>
              </w:rPr>
              <w:t>“</w:t>
            </w:r>
            <w:r w:rsidRPr="007424E0">
              <w:rPr>
                <w:rStyle w:val="normaltextrun"/>
                <w:sz w:val="20"/>
                <w:szCs w:val="20"/>
              </w:rPr>
              <w:t>household item?</w:t>
            </w:r>
            <w:r w:rsidRPr="007424E0">
              <w:rPr>
                <w:rStyle w:val="normaltextrun"/>
                <w:rFonts w:eastAsia="MS Mincho"/>
                <w:sz w:val="20"/>
                <w:szCs w:val="20"/>
              </w:rPr>
              <w:t>”</w:t>
            </w:r>
            <w:r w:rsidRPr="007424E0">
              <w:rPr>
                <w:rStyle w:val="eop"/>
                <w:rFonts w:eastAsia="MS Mincho"/>
                <w:sz w:val="20"/>
                <w:szCs w:val="20"/>
              </w:rPr>
              <w:t> </w:t>
            </w:r>
          </w:p>
          <w:p w14:paraId="52B7ED8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rFonts w:eastAsia="MS Mincho"/>
                <w:sz w:val="20"/>
                <w:szCs w:val="20"/>
              </w:rPr>
              <w:t> </w:t>
            </w:r>
          </w:p>
          <w:p w14:paraId="752152D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rFonts w:eastAsia="MS Mincho"/>
                <w:sz w:val="20"/>
                <w:szCs w:val="20"/>
              </w:rPr>
              <w:t>:</w:t>
            </w:r>
            <w:r w:rsidRPr="007424E0">
              <w:rPr>
                <w:rStyle w:val="eop"/>
                <w:rFonts w:eastAsia="MS Mincho"/>
                <w:sz w:val="20"/>
                <w:szCs w:val="20"/>
              </w:rPr>
              <w:t> </w:t>
            </w:r>
          </w:p>
          <w:p w14:paraId="1A744F1D" w14:textId="77777777" w:rsidR="00B24E0A" w:rsidRPr="007424E0" w:rsidRDefault="00B24E0A" w:rsidP="000F6D48">
            <w:pPr>
              <w:pStyle w:val="paragraph"/>
              <w:spacing w:before="0" w:beforeAutospacing="0" w:after="0" w:afterAutospacing="0"/>
              <w:textAlignment w:val="baseline"/>
              <w:rPr>
                <w:rStyle w:val="eop"/>
                <w:sz w:val="20"/>
                <w:szCs w:val="20"/>
              </w:rPr>
            </w:pPr>
            <w:r w:rsidRPr="007424E0">
              <w:rPr>
                <w:rStyle w:val="normaltextrun"/>
                <w:sz w:val="20"/>
                <w:szCs w:val="20"/>
              </w:rPr>
              <w:t>“Household item” is defined more specifically. Because of this, the descriptor “full range” is more important for purposes of determining eligibility for stores that sell general merchandise that would be considered “household items.” </w:t>
            </w:r>
            <w:r w:rsidRPr="007424E0">
              <w:rPr>
                <w:rStyle w:val="eop"/>
                <w:sz w:val="20"/>
                <w:szCs w:val="20"/>
              </w:rPr>
              <w:t> </w:t>
            </w:r>
          </w:p>
          <w:p w14:paraId="7B0BBDCF" w14:textId="77777777" w:rsidR="00B24E0A" w:rsidRPr="007424E0" w:rsidRDefault="00B24E0A" w:rsidP="000F6D48">
            <w:pPr>
              <w:pStyle w:val="paragraph"/>
              <w:spacing w:before="0" w:beforeAutospacing="0" w:after="0" w:afterAutospacing="0"/>
              <w:textAlignment w:val="baseline"/>
              <w:rPr>
                <w:sz w:val="20"/>
                <w:szCs w:val="20"/>
              </w:rPr>
            </w:pPr>
          </w:p>
          <w:p w14:paraId="0C7DA9D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For example: </w:t>
            </w:r>
            <w:r w:rsidRPr="007424E0">
              <w:rPr>
                <w:rStyle w:val="eop"/>
                <w:sz w:val="20"/>
                <w:szCs w:val="20"/>
              </w:rPr>
              <w:t> </w:t>
            </w:r>
          </w:p>
          <w:p w14:paraId="4BE91F21" w14:textId="77777777" w:rsidR="00B24E0A" w:rsidRPr="007424E0" w:rsidRDefault="00B24E0A"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 store that focuses on one type of merchandise would not qualify under this option, except for clothing because it is stated explicitly in the QAP. </w:t>
            </w:r>
            <w:r w:rsidRPr="007424E0">
              <w:rPr>
                <w:rStyle w:val="eop"/>
                <w:sz w:val="20"/>
                <w:szCs w:val="20"/>
              </w:rPr>
              <w:t> </w:t>
            </w:r>
          </w:p>
          <w:p w14:paraId="495C0B28" w14:textId="77777777" w:rsidR="00B24E0A" w:rsidRPr="007424E0" w:rsidRDefault="00B24E0A" w:rsidP="000F6D48">
            <w:pPr>
              <w:pStyle w:val="paragraph"/>
              <w:numPr>
                <w:ilvl w:val="0"/>
                <w:numId w:val="11"/>
              </w:numPr>
              <w:spacing w:before="0" w:beforeAutospacing="0" w:after="0" w:afterAutospacing="0"/>
              <w:textAlignment w:val="baseline"/>
              <w:rPr>
                <w:rStyle w:val="eop"/>
                <w:sz w:val="20"/>
                <w:szCs w:val="20"/>
              </w:rPr>
            </w:pPr>
            <w:r w:rsidRPr="007424E0">
              <w:rPr>
                <w:rStyle w:val="normaltextrun"/>
                <w:sz w:val="20"/>
                <w:szCs w:val="20"/>
              </w:rPr>
              <w:t>An example of a store that has been approved as selling a “full range” of household items in the past is Family Dollar. </w:t>
            </w:r>
            <w:r w:rsidRPr="007424E0">
              <w:rPr>
                <w:rStyle w:val="eop"/>
                <w:sz w:val="20"/>
                <w:szCs w:val="20"/>
              </w:rPr>
              <w:t> </w:t>
            </w:r>
          </w:p>
          <w:p w14:paraId="6B24D306" w14:textId="77777777" w:rsidR="00B24E0A" w:rsidRPr="007424E0" w:rsidRDefault="00B24E0A" w:rsidP="000F6D48">
            <w:pPr>
              <w:pStyle w:val="paragraph"/>
              <w:numPr>
                <w:ilvl w:val="0"/>
                <w:numId w:val="11"/>
              </w:numPr>
              <w:spacing w:before="0" w:beforeAutospacing="0" w:after="0" w:afterAutospacing="0"/>
              <w:textAlignment w:val="baseline"/>
              <w:rPr>
                <w:sz w:val="20"/>
                <w:szCs w:val="20"/>
              </w:rPr>
            </w:pPr>
            <w:r w:rsidRPr="007424E0">
              <w:rPr>
                <w:rStyle w:val="normaltextrun"/>
                <w:sz w:val="20"/>
                <w:szCs w:val="20"/>
              </w:rPr>
              <w:t>An example of a store that has been denied eligibility is a gas station with a convenience store (denied due to the limited range of merchandise sold). </w:t>
            </w:r>
            <w:r w:rsidRPr="007424E0">
              <w:rPr>
                <w:rStyle w:val="eop"/>
                <w:sz w:val="20"/>
                <w:szCs w:val="20"/>
              </w:rPr>
              <w:t> </w:t>
            </w:r>
            <w:r w:rsidRPr="007424E0">
              <w:rPr>
                <w:rStyle w:val="eop"/>
                <w:sz w:val="20"/>
                <w:szCs w:val="20"/>
              </w:rPr>
              <w:br/>
            </w:r>
          </w:p>
          <w:p w14:paraId="7EC070A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As stated in </w:t>
            </w:r>
            <w:r w:rsidRPr="007424E0">
              <w:rPr>
                <w:rStyle w:val="normaltextrun"/>
                <w:b/>
                <w:bCs/>
                <w:sz w:val="20"/>
                <w:szCs w:val="20"/>
              </w:rPr>
              <w:t>(Scoring Criteria) Documentation and Justifications</w:t>
            </w:r>
            <w:r w:rsidRPr="007424E0">
              <w:rPr>
                <w:rStyle w:val="normaltextrun"/>
                <w:sz w:val="20"/>
                <w:szCs w:val="20"/>
              </w:rPr>
              <w:t>, “Applications must explain any alternate document to a minimum document.” If it is not self-evident for your proposed establishment, please include supporting documentation and elaborate in the comments section.</w:t>
            </w:r>
          </w:p>
          <w:p w14:paraId="37AFCBCE"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67B9BEFC" w14:textId="77777777" w:rsidTr="64301FE8">
        <w:trPr>
          <w:jc w:val="center"/>
        </w:trPr>
        <w:tc>
          <w:tcPr>
            <w:tcW w:w="1697" w:type="dxa"/>
            <w:shd w:val="clear" w:color="auto" w:fill="auto"/>
            <w:tcMar>
              <w:top w:w="72" w:type="dxa"/>
              <w:left w:w="115" w:type="dxa"/>
              <w:bottom w:w="72" w:type="dxa"/>
              <w:right w:w="115" w:type="dxa"/>
            </w:tcMar>
            <w:vAlign w:val="center"/>
          </w:tcPr>
          <w:p w14:paraId="6F0170B9"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254E5D6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3.17</w:t>
            </w:r>
          </w:p>
          <w:p w14:paraId="4A62C79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4A8F86A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Minority- and Women-owned Business Engagement </w:t>
            </w:r>
          </w:p>
        </w:tc>
        <w:tc>
          <w:tcPr>
            <w:tcW w:w="9585" w:type="dxa"/>
            <w:shd w:val="clear" w:color="auto" w:fill="auto"/>
            <w:tcMar>
              <w:top w:w="72" w:type="dxa"/>
              <w:left w:w="115" w:type="dxa"/>
              <w:bottom w:w="72" w:type="dxa"/>
              <w:right w:w="115" w:type="dxa"/>
            </w:tcMar>
            <w:vAlign w:val="center"/>
          </w:tcPr>
          <w:p w14:paraId="7F2E9C1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Q22_0328_01 </w:t>
            </w:r>
          </w:p>
          <w:p w14:paraId="3A27519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Per the QAP’s definition of “Related Parties,” I am a Related Party to a qualified developer. </w:t>
            </w:r>
            <w:r w:rsidRPr="007424E0">
              <w:rPr>
                <w:rFonts w:ascii="Times New Roman" w:eastAsia="Times New Roman" w:hAnsi="Times New Roman" w:cs="Times New Roman"/>
                <w:b/>
                <w:bCs/>
                <w:sz w:val="20"/>
                <w:szCs w:val="20"/>
              </w:rPr>
              <w:t>(Scoring Criteria) Minority- and Women-Owned Business Engagement</w:t>
            </w:r>
            <w:r w:rsidRPr="007424E0">
              <w:rPr>
                <w:rFonts w:ascii="Times New Roman" w:eastAsia="Times New Roman" w:hAnsi="Times New Roman" w:cs="Times New Roman"/>
                <w:sz w:val="20"/>
                <w:szCs w:val="20"/>
              </w:rPr>
              <w:t xml:space="preserve"> states that one of the requirements of a “Qualified Business” (QB) is:  </w:t>
            </w:r>
          </w:p>
          <w:p w14:paraId="1171AD8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511BCDB1"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QB is not a Related Party to an individual or entity that meets the requirements under Requirements for Experience (Certifying Entity).</w:t>
            </w:r>
            <w:r w:rsidRPr="007424E0">
              <w:rPr>
                <w:rFonts w:ascii="Times New Roman" w:eastAsia="Times New Roman" w:hAnsi="Times New Roman" w:cs="Times New Roman"/>
                <w:sz w:val="20"/>
                <w:szCs w:val="20"/>
              </w:rPr>
              <w:t>” </w:t>
            </w:r>
          </w:p>
          <w:p w14:paraId="32AEE67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ACCB4B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At the QAP Workshop, DCA staff told me that if I receive Probationary approval during the Pre-Application process, then I would still be eligible as a QB under this Scoring section. I am confirming this through the Q&amp;A process, since this was just verbal guidance.  </w:t>
            </w:r>
          </w:p>
          <w:p w14:paraId="1A3E3EA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0F75D7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0CC9B0A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above-referenced guidance provided by DCA staff at the 2022 QAP Workshop was incorrect. As stated in the above QAP excerpt, if you are a Related Party to a qualified developer, this will disqualify your otherwise Qualified Business for purposes of </w:t>
            </w:r>
            <w:r w:rsidRPr="007424E0">
              <w:rPr>
                <w:rFonts w:ascii="Times New Roman" w:eastAsia="Times New Roman" w:hAnsi="Times New Roman" w:cs="Times New Roman"/>
                <w:b/>
                <w:bCs/>
                <w:sz w:val="20"/>
                <w:szCs w:val="20"/>
              </w:rPr>
              <w:t>Minority- and Women-Owned Business Engagement</w:t>
            </w:r>
            <w:r w:rsidRPr="007424E0">
              <w:rPr>
                <w:rFonts w:ascii="Times New Roman" w:eastAsia="Times New Roman" w:hAnsi="Times New Roman" w:cs="Times New Roman"/>
                <w:sz w:val="20"/>
                <w:szCs w:val="20"/>
              </w:rPr>
              <w:t>, even if you meet all other QB requirements.  </w:t>
            </w:r>
          </w:p>
          <w:p w14:paraId="308A5A9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6C1687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All applicants should be reminded that you cannot rely on any verbal statements from the QAP Workshop for purposes of application preparation. If you need to rely on verbal guidance, please submit it for confirmation through this Q&amp;A process. </w:t>
            </w:r>
            <w:hyperlink r:id="rId56"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to review the full disclaimer.</w:t>
            </w:r>
          </w:p>
          <w:p w14:paraId="04D12D0B" w14:textId="77777777" w:rsidR="00B24E0A" w:rsidRPr="007424E0" w:rsidRDefault="00B24E0A" w:rsidP="000F6D48">
            <w:pPr>
              <w:pStyle w:val="paragraph"/>
              <w:spacing w:before="0" w:beforeAutospacing="0" w:after="0" w:afterAutospacing="0"/>
              <w:textAlignment w:val="baseline"/>
              <w:rPr>
                <w:rStyle w:val="normaltextrun"/>
                <w:b/>
                <w:bCs/>
                <w:sz w:val="20"/>
                <w:szCs w:val="20"/>
              </w:rPr>
            </w:pPr>
          </w:p>
        </w:tc>
      </w:tr>
      <w:tr w:rsidR="00B24E0A" w:rsidRPr="007424E0" w14:paraId="7C125B13" w14:textId="77777777" w:rsidTr="64301FE8">
        <w:trPr>
          <w:jc w:val="center"/>
        </w:trPr>
        <w:tc>
          <w:tcPr>
            <w:tcW w:w="1697" w:type="dxa"/>
            <w:shd w:val="clear" w:color="auto" w:fill="auto"/>
            <w:tcMar>
              <w:top w:w="72" w:type="dxa"/>
              <w:left w:w="115" w:type="dxa"/>
              <w:bottom w:w="72" w:type="dxa"/>
              <w:right w:w="115" w:type="dxa"/>
            </w:tcMar>
            <w:vAlign w:val="center"/>
          </w:tcPr>
          <w:p w14:paraId="5BE0A808"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549B169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3.21</w:t>
            </w:r>
          </w:p>
          <w:p w14:paraId="5CBF91D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Scoring Criteria;</w:t>
            </w:r>
          </w:p>
          <w:p w14:paraId="3C4A311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Favorable Financing</w:t>
            </w:r>
          </w:p>
        </w:tc>
        <w:tc>
          <w:tcPr>
            <w:tcW w:w="9585" w:type="dxa"/>
            <w:shd w:val="clear" w:color="auto" w:fill="auto"/>
            <w:tcMar>
              <w:top w:w="72" w:type="dxa"/>
              <w:left w:w="115" w:type="dxa"/>
              <w:bottom w:w="72" w:type="dxa"/>
              <w:right w:w="115" w:type="dxa"/>
            </w:tcMar>
            <w:vAlign w:val="center"/>
          </w:tcPr>
          <w:p w14:paraId="054AB067" w14:textId="77777777" w:rsidR="00B24E0A" w:rsidRPr="007424E0" w:rsidRDefault="00B24E0A" w:rsidP="000F6D48">
            <w:pPr>
              <w:keepNext/>
              <w:keepLines/>
              <w:jc w:val="center"/>
              <w:rPr>
                <w:rFonts w:ascii="Times New Roman" w:hAnsi="Times New Roman" w:cs="Times New Roman"/>
                <w:sz w:val="20"/>
                <w:szCs w:val="20"/>
              </w:rPr>
            </w:pPr>
            <w:r w:rsidRPr="007424E0">
              <w:rPr>
                <w:rStyle w:val="normaltextrun"/>
                <w:rFonts w:ascii="Times New Roman" w:hAnsi="Times New Roman" w:cs="Times New Roman"/>
                <w:b/>
                <w:bCs/>
                <w:i/>
                <w:iCs/>
                <w:color w:val="FF0000"/>
                <w:sz w:val="20"/>
                <w:szCs w:val="20"/>
              </w:rPr>
              <w:t>This Q&amp;A references the 9% Round but includes information relevant to 4%/Bonds applications.</w:t>
            </w:r>
          </w:p>
          <w:p w14:paraId="1D5E1FDC" w14:textId="77777777" w:rsidR="00B24E0A" w:rsidRPr="007424E0" w:rsidRDefault="00B24E0A" w:rsidP="000F6D48">
            <w:pPr>
              <w:pStyle w:val="paragraph"/>
              <w:keepNext/>
              <w:keepLines/>
              <w:spacing w:before="0" w:beforeAutospacing="0" w:after="0" w:afterAutospacing="0"/>
              <w:textAlignment w:val="baseline"/>
              <w:rPr>
                <w:rStyle w:val="normaltextrun"/>
                <w:rFonts w:eastAsiaTheme="minorHAnsi"/>
                <w:b/>
                <w:bCs/>
                <w:sz w:val="20"/>
                <w:szCs w:val="20"/>
              </w:rPr>
            </w:pPr>
          </w:p>
          <w:p w14:paraId="3EF8F67E" w14:textId="77777777" w:rsidR="00B24E0A" w:rsidRPr="007424E0" w:rsidRDefault="00B24E0A" w:rsidP="000F6D48">
            <w:pPr>
              <w:pStyle w:val="paragraph"/>
              <w:keepNext/>
              <w:keepLines/>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Q22_0104_01</w:t>
            </w:r>
            <w:r w:rsidRPr="007424E0">
              <w:rPr>
                <w:rStyle w:val="eop"/>
                <w:sz w:val="20"/>
                <w:szCs w:val="20"/>
              </w:rPr>
              <w:t> </w:t>
            </w:r>
          </w:p>
          <w:p w14:paraId="701502C2" w14:textId="77777777" w:rsidR="00B24E0A" w:rsidRPr="007424E0" w:rsidRDefault="00B24E0A" w:rsidP="000F6D48">
            <w:pPr>
              <w:pStyle w:val="paragraph"/>
              <w:keepNext/>
              <w:keepLines/>
              <w:spacing w:before="0" w:beforeAutospacing="0" w:after="0" w:afterAutospacing="0"/>
              <w:textAlignment w:val="baseline"/>
              <w:rPr>
                <w:sz w:val="20"/>
                <w:szCs w:val="20"/>
              </w:rPr>
            </w:pPr>
            <w:r w:rsidRPr="007424E0">
              <w:rPr>
                <w:rStyle w:val="normaltextrun"/>
                <w:sz w:val="20"/>
                <w:szCs w:val="20"/>
              </w:rPr>
              <w:t xml:space="preserve">The local government has committed to providing the infrastructure for the development of affordable housing on a future LIHTC project.  It is a </w:t>
            </w:r>
            <w:r w:rsidRPr="007424E0">
              <w:rPr>
                <w:rStyle w:val="contextualspellingandgrammarerror"/>
                <w:rFonts w:eastAsiaTheme="majorEastAsia"/>
                <w:sz w:val="20"/>
                <w:szCs w:val="20"/>
              </w:rPr>
              <w:t>two phase</w:t>
            </w:r>
            <w:r w:rsidRPr="007424E0">
              <w:rPr>
                <w:rStyle w:val="normaltextrun"/>
                <w:sz w:val="20"/>
                <w:szCs w:val="20"/>
              </w:rPr>
              <w:t xml:space="preserve"> project that will require roads, stormwater lines, water lines, sidewalks, etc.  The total cost of the infrastructure is approximately $4,000,000; or approximately $2,000,000 per phase based on the layout.  However, due to the configuration of the site, it would be impractical and inefficient to build the infrastructure in phases. </w:t>
            </w:r>
            <w:r w:rsidRPr="007424E0">
              <w:rPr>
                <w:rStyle w:val="eop"/>
                <w:sz w:val="20"/>
                <w:szCs w:val="20"/>
              </w:rPr>
              <w:t> </w:t>
            </w:r>
          </w:p>
          <w:p w14:paraId="7117B526" w14:textId="77777777" w:rsidR="00B24E0A" w:rsidRPr="007424E0" w:rsidRDefault="00B24E0A" w:rsidP="000F6D48">
            <w:pPr>
              <w:pStyle w:val="paragraph"/>
              <w:numPr>
                <w:ilvl w:val="0"/>
                <w:numId w:val="12"/>
              </w:numPr>
              <w:spacing w:before="0" w:beforeAutospacing="0" w:after="0" w:afterAutospacing="0"/>
              <w:ind w:left="1080" w:firstLine="0"/>
              <w:textAlignment w:val="baseline"/>
              <w:rPr>
                <w:sz w:val="20"/>
                <w:szCs w:val="20"/>
              </w:rPr>
            </w:pPr>
            <w:r w:rsidRPr="007424E0">
              <w:rPr>
                <w:rStyle w:val="normaltextrun"/>
                <w:sz w:val="20"/>
                <w:szCs w:val="20"/>
              </w:rPr>
              <w:t>Would DCA consider allowing the construction of all the infrastructure in one phase of development and then assigning costs to Phase I and to Phase II in order to be eligible to score points under Favorable Financing for its share of the improvements that were completed with the first phase?  </w:t>
            </w:r>
            <w:r w:rsidRPr="007424E0">
              <w:rPr>
                <w:rStyle w:val="eop"/>
                <w:sz w:val="20"/>
                <w:szCs w:val="20"/>
              </w:rPr>
              <w:t> </w:t>
            </w:r>
          </w:p>
          <w:p w14:paraId="358D6991" w14:textId="77777777" w:rsidR="00B24E0A" w:rsidRPr="007424E0" w:rsidRDefault="00B24E0A"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Would the provision of the funding in two separate funding documents aid DCA in making this approval to cover two phases?  </w:t>
            </w:r>
            <w:r w:rsidRPr="007424E0">
              <w:rPr>
                <w:rStyle w:val="eop"/>
                <w:sz w:val="20"/>
                <w:szCs w:val="20"/>
              </w:rPr>
              <w:t> </w:t>
            </w:r>
          </w:p>
          <w:p w14:paraId="0D17B5C6" w14:textId="77777777" w:rsidR="00B24E0A" w:rsidRPr="007424E0" w:rsidRDefault="00B24E0A"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Can DCA support this concept to develop all the infrastructure at one time and assign costs per phase to meet the Favorable Financing scoring requirements.  </w:t>
            </w:r>
            <w:r w:rsidRPr="007424E0">
              <w:rPr>
                <w:rStyle w:val="eop"/>
                <w:sz w:val="20"/>
                <w:szCs w:val="20"/>
              </w:rPr>
              <w:t> </w:t>
            </w:r>
          </w:p>
          <w:p w14:paraId="61A51517" w14:textId="77777777" w:rsidR="00B24E0A" w:rsidRPr="007424E0" w:rsidRDefault="00B24E0A" w:rsidP="000F6D48">
            <w:pPr>
              <w:pStyle w:val="paragraph"/>
              <w:numPr>
                <w:ilvl w:val="0"/>
                <w:numId w:val="13"/>
              </w:numPr>
              <w:spacing w:before="0" w:beforeAutospacing="0" w:after="0" w:afterAutospacing="0"/>
              <w:ind w:left="1080" w:firstLine="0"/>
              <w:textAlignment w:val="baseline"/>
              <w:rPr>
                <w:sz w:val="20"/>
                <w:szCs w:val="20"/>
              </w:rPr>
            </w:pPr>
            <w:r w:rsidRPr="007424E0">
              <w:rPr>
                <w:rStyle w:val="normaltextrun"/>
                <w:sz w:val="20"/>
                <w:szCs w:val="20"/>
              </w:rPr>
              <w:t xml:space="preserve">This funding source will qualify under “11. Other Federal, State, or local grant funds or loans.” </w:t>
            </w:r>
            <w:r w:rsidRPr="007424E0">
              <w:rPr>
                <w:rStyle w:val="scxw52255993"/>
                <w:sz w:val="20"/>
                <w:szCs w:val="20"/>
              </w:rPr>
              <w:t> </w:t>
            </w:r>
            <w:r w:rsidRPr="007424E0">
              <w:rPr>
                <w:rStyle w:val="eop"/>
                <w:sz w:val="20"/>
                <w:szCs w:val="20"/>
              </w:rPr>
              <w:t> </w:t>
            </w:r>
          </w:p>
          <w:p w14:paraId="1526FAF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377510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36CCF0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The local government would indeed need to provide multiple funding documents so that DCA staff can confirm how much is attributable to the phase 1 application. Assuming all Favorable Financing requirements are </w:t>
            </w:r>
            <w:r w:rsidRPr="007424E0">
              <w:rPr>
                <w:rStyle w:val="contextualspellingandgrammarerror"/>
                <w:rFonts w:eastAsiaTheme="majorEastAsia"/>
                <w:sz w:val="20"/>
                <w:szCs w:val="20"/>
              </w:rPr>
              <w:t>met</w:t>
            </w:r>
            <w:r w:rsidRPr="007424E0">
              <w:rPr>
                <w:rStyle w:val="normaltextrun"/>
                <w:sz w:val="20"/>
                <w:szCs w:val="20"/>
              </w:rPr>
              <w:t xml:space="preserve"> and the applicant details the methodology for proportionally allocating costs between each phase, then the phase 1 amount would be allowable for purposes of Favorable Financing under the 2022 9% Competitive Round. </w:t>
            </w:r>
            <w:r w:rsidRPr="007424E0">
              <w:rPr>
                <w:rStyle w:val="eop"/>
                <w:sz w:val="20"/>
                <w:szCs w:val="20"/>
              </w:rPr>
              <w:t> </w:t>
            </w:r>
          </w:p>
          <w:p w14:paraId="604E92E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4165DE6A"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However, DCA cannot provide any guidance about whether the costs attributable to phase 2 will be allowable under Favorable Financing in a future application, because that would be clarifying policy for a future QAP. DCA can only provide guidance related to the 2022 QAP. </w:t>
            </w:r>
            <w:r w:rsidRPr="007424E0">
              <w:rPr>
                <w:rStyle w:val="eop"/>
                <w:sz w:val="20"/>
                <w:szCs w:val="20"/>
              </w:rPr>
              <w:t> </w:t>
            </w:r>
          </w:p>
        </w:tc>
      </w:tr>
      <w:tr w:rsidR="00B24E0A" w:rsidRPr="007424E0" w14:paraId="754B2869" w14:textId="77777777" w:rsidTr="64301FE8">
        <w:trPr>
          <w:jc w:val="center"/>
        </w:trPr>
        <w:tc>
          <w:tcPr>
            <w:tcW w:w="1697" w:type="dxa"/>
            <w:shd w:val="clear" w:color="auto" w:fill="auto"/>
            <w:tcMar>
              <w:top w:w="72" w:type="dxa"/>
              <w:left w:w="115" w:type="dxa"/>
              <w:bottom w:w="72" w:type="dxa"/>
              <w:right w:w="115" w:type="dxa"/>
            </w:tcMar>
            <w:vAlign w:val="center"/>
          </w:tcPr>
          <w:p w14:paraId="673CEE8C"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3/31/22</w:t>
            </w:r>
          </w:p>
        </w:tc>
        <w:tc>
          <w:tcPr>
            <w:tcW w:w="2663" w:type="dxa"/>
            <w:shd w:val="clear" w:color="auto" w:fill="auto"/>
            <w:tcMar>
              <w:top w:w="72" w:type="dxa"/>
              <w:left w:w="115" w:type="dxa"/>
              <w:bottom w:w="72" w:type="dxa"/>
              <w:right w:w="115" w:type="dxa"/>
            </w:tcMar>
            <w:vAlign w:val="center"/>
          </w:tcPr>
          <w:p w14:paraId="27985A6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3.27</w:t>
            </w:r>
          </w:p>
          <w:p w14:paraId="1AD22B8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0BDD377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PBRA Contracts</w:t>
            </w:r>
          </w:p>
        </w:tc>
        <w:tc>
          <w:tcPr>
            <w:tcW w:w="9585" w:type="dxa"/>
            <w:shd w:val="clear" w:color="auto" w:fill="auto"/>
            <w:tcMar>
              <w:top w:w="72" w:type="dxa"/>
              <w:left w:w="115" w:type="dxa"/>
              <w:bottom w:w="72" w:type="dxa"/>
              <w:right w:w="115" w:type="dxa"/>
            </w:tcMar>
            <w:vAlign w:val="center"/>
          </w:tcPr>
          <w:p w14:paraId="40A553A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xml:space="preserve">: </w:t>
            </w:r>
            <w:r w:rsidRPr="007424E0">
              <w:rPr>
                <w:rFonts w:ascii="Times New Roman" w:eastAsia="Times New Roman" w:hAnsi="Times New Roman" w:cs="Times New Roman"/>
                <w:b/>
                <w:bCs/>
                <w:sz w:val="20"/>
                <w:szCs w:val="20"/>
              </w:rPr>
              <w:t>Q22_0307_01</w:t>
            </w:r>
            <w:r w:rsidRPr="007424E0">
              <w:rPr>
                <w:rFonts w:ascii="Times New Roman" w:eastAsia="Times New Roman" w:hAnsi="Times New Roman" w:cs="Times New Roman"/>
                <w:sz w:val="20"/>
                <w:szCs w:val="20"/>
              </w:rPr>
              <w:t> </w:t>
            </w:r>
          </w:p>
          <w:p w14:paraId="2187FB5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Would an applicant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xml:space="preserve"> if the PBRA would be conditional upon receipt of a Credit award, but the PBRA contract would be in effect on or before the units are placed in service? </w:t>
            </w:r>
          </w:p>
          <w:p w14:paraId="78C1731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068642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FD76504"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Assuming all other requirements related to the associated PBRA agreements are met (e.g., requirements listed in </w:t>
            </w:r>
            <w:r w:rsidRPr="007424E0">
              <w:rPr>
                <w:rFonts w:ascii="Times New Roman" w:eastAsia="Times New Roman" w:hAnsi="Times New Roman" w:cs="Times New Roman"/>
                <w:b/>
                <w:bCs/>
                <w:sz w:val="20"/>
                <w:szCs w:val="20"/>
              </w:rPr>
              <w:t>(Threshold Criteria) Project Feasibility)</w:t>
            </w:r>
            <w:r w:rsidRPr="007424E0">
              <w:rPr>
                <w:rFonts w:ascii="Times New Roman" w:eastAsia="Times New Roman" w:hAnsi="Times New Roman" w:cs="Times New Roman"/>
                <w:sz w:val="20"/>
                <w:szCs w:val="20"/>
              </w:rPr>
              <w:t xml:space="preserve">, such PBRA contracts would be eligible for points under </w:t>
            </w:r>
            <w:r w:rsidRPr="007424E0">
              <w:rPr>
                <w:rFonts w:ascii="Times New Roman" w:eastAsia="Times New Roman" w:hAnsi="Times New Roman" w:cs="Times New Roman"/>
                <w:b/>
                <w:bCs/>
                <w:sz w:val="20"/>
                <w:szCs w:val="20"/>
              </w:rPr>
              <w:t>(Scoring Criteria) PBRA Contracts</w:t>
            </w:r>
            <w:r w:rsidRPr="007424E0">
              <w:rPr>
                <w:rFonts w:ascii="Times New Roman" w:eastAsia="Times New Roman" w:hAnsi="Times New Roman" w:cs="Times New Roman"/>
                <w:sz w:val="20"/>
                <w:szCs w:val="20"/>
              </w:rPr>
              <w:t>. The contracts being conditional on a tax credit award is not a disqualifying factor.  </w:t>
            </w:r>
          </w:p>
        </w:tc>
      </w:tr>
      <w:tr w:rsidR="00B24E0A" w:rsidRPr="007424E0" w14:paraId="788C375B" w14:textId="77777777" w:rsidTr="64301FE8">
        <w:trPr>
          <w:jc w:val="center"/>
        </w:trPr>
        <w:tc>
          <w:tcPr>
            <w:tcW w:w="1697" w:type="dxa"/>
            <w:shd w:val="clear" w:color="auto" w:fill="auto"/>
            <w:tcMar>
              <w:top w:w="72" w:type="dxa"/>
              <w:left w:w="115" w:type="dxa"/>
              <w:bottom w:w="72" w:type="dxa"/>
              <w:right w:w="115" w:type="dxa"/>
            </w:tcMar>
            <w:vAlign w:val="center"/>
          </w:tcPr>
          <w:p w14:paraId="5F5A3BCE"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23B52AD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1.12</w:t>
            </w:r>
          </w:p>
          <w:p w14:paraId="7838A41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Core Plan;</w:t>
            </w:r>
          </w:p>
          <w:p w14:paraId="2FFBCC1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Eligibility of Certain Project Configurations</w:t>
            </w:r>
          </w:p>
          <w:p w14:paraId="69D25291" w14:textId="77777777" w:rsidR="00B24E0A" w:rsidRPr="007424E0" w:rsidRDefault="00B24E0A" w:rsidP="000F6D48">
            <w:pPr>
              <w:rPr>
                <w:rFonts w:ascii="Times New Roman" w:hAnsi="Times New Roman" w:cs="Times New Roman"/>
                <w:sz w:val="20"/>
                <w:szCs w:val="20"/>
              </w:rPr>
            </w:pPr>
          </w:p>
          <w:p w14:paraId="44B6834E" w14:textId="77777777" w:rsidR="00B24E0A" w:rsidRPr="007424E0" w:rsidRDefault="00B24E0A" w:rsidP="000F6D48">
            <w:pPr>
              <w:rPr>
                <w:rFonts w:ascii="Times New Roman" w:hAnsi="Times New Roman" w:cs="Times New Roman"/>
                <w:sz w:val="20"/>
                <w:szCs w:val="20"/>
              </w:rPr>
            </w:pPr>
          </w:p>
          <w:p w14:paraId="28D8202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1.10 Core; 4% Federal Credit)</w:t>
            </w:r>
          </w:p>
        </w:tc>
        <w:tc>
          <w:tcPr>
            <w:tcW w:w="9585" w:type="dxa"/>
            <w:shd w:val="clear" w:color="auto" w:fill="auto"/>
            <w:tcMar>
              <w:top w:w="72" w:type="dxa"/>
              <w:left w:w="115" w:type="dxa"/>
              <w:bottom w:w="72" w:type="dxa"/>
              <w:right w:w="115" w:type="dxa"/>
            </w:tcMar>
            <w:vAlign w:val="center"/>
          </w:tcPr>
          <w:p w14:paraId="06554ED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Q22_Q1222_01</w:t>
            </w:r>
            <w:r w:rsidRPr="007424E0">
              <w:rPr>
                <w:rStyle w:val="eop"/>
                <w:sz w:val="20"/>
                <w:szCs w:val="20"/>
              </w:rPr>
              <w:t> </w:t>
            </w:r>
          </w:p>
          <w:p w14:paraId="11BE07B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Could a two-phase development, purchased as one project, be submitted for Credits as one project under one application, given the scoring is the same for both phases?</w:t>
            </w:r>
            <w:r w:rsidRPr="007424E0">
              <w:rPr>
                <w:rStyle w:val="eop"/>
                <w:sz w:val="20"/>
                <w:szCs w:val="20"/>
              </w:rPr>
              <w:t> </w:t>
            </w:r>
          </w:p>
          <w:p w14:paraId="423BA6A4"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574B84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69CE0EF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Yes, assuming the combined application meets all applicable requirements in the QAP, combining both phases of a multi-phase development for one tax credit application is allowed. </w:t>
            </w:r>
            <w:r w:rsidRPr="007424E0">
              <w:rPr>
                <w:rStyle w:val="eop"/>
                <w:sz w:val="20"/>
                <w:szCs w:val="20"/>
              </w:rPr>
              <w:t> </w:t>
            </w:r>
          </w:p>
          <w:p w14:paraId="2121537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68C542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Please also see the following QAP excerpts that may be applicable, depending on the circumstances: </w:t>
            </w:r>
            <w:r w:rsidRPr="007424E0">
              <w:rPr>
                <w:rStyle w:val="eop"/>
                <w:sz w:val="20"/>
                <w:szCs w:val="20"/>
              </w:rPr>
              <w:t> </w:t>
            </w:r>
          </w:p>
          <w:p w14:paraId="2086088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510310FE" w14:textId="77777777" w:rsidR="00B24E0A" w:rsidRPr="007424E0" w:rsidRDefault="00B24E0A"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sz w:val="20"/>
                <w:szCs w:val="20"/>
              </w:rPr>
              <w:t>(</w:t>
            </w:r>
            <w:r w:rsidRPr="007424E0">
              <w:rPr>
                <w:rStyle w:val="normaltextrun"/>
                <w:b/>
                <w:bCs/>
                <w:sz w:val="20"/>
                <w:szCs w:val="20"/>
              </w:rPr>
              <w:t>Core Plan</w:t>
            </w:r>
            <w:r w:rsidRPr="007424E0">
              <w:rPr>
                <w:rStyle w:val="normaltextrun"/>
                <w:sz w:val="20"/>
                <w:szCs w:val="20"/>
              </w:rPr>
              <w:t xml:space="preserve">), </w:t>
            </w:r>
            <w:r w:rsidRPr="007424E0">
              <w:rPr>
                <w:rStyle w:val="normaltextrun"/>
                <w:b/>
                <w:bCs/>
                <w:sz w:val="20"/>
                <w:szCs w:val="20"/>
              </w:rPr>
              <w:t>Eligibility of Certain Project Configurations</w:t>
            </w:r>
            <w:r w:rsidRPr="007424E0">
              <w:rPr>
                <w:rStyle w:val="normaltextrun"/>
                <w:sz w:val="20"/>
                <w:szCs w:val="20"/>
              </w:rPr>
              <w:t xml:space="preserve">, subsection </w:t>
            </w:r>
            <w:r w:rsidRPr="007424E0">
              <w:rPr>
                <w:rStyle w:val="normaltextrun"/>
                <w:b/>
                <w:bCs/>
                <w:sz w:val="20"/>
                <w:szCs w:val="20"/>
              </w:rPr>
              <w:t>A. Eligibility of Scattered Sites</w:t>
            </w:r>
            <w:r w:rsidRPr="007424E0">
              <w:rPr>
                <w:rStyle w:val="normaltextrun"/>
                <w:sz w:val="20"/>
                <w:szCs w:val="20"/>
              </w:rPr>
              <w:t> </w:t>
            </w:r>
            <w:r w:rsidRPr="007424E0">
              <w:rPr>
                <w:rStyle w:val="eop"/>
                <w:sz w:val="20"/>
                <w:szCs w:val="20"/>
              </w:rPr>
              <w:t> </w:t>
            </w:r>
          </w:p>
          <w:p w14:paraId="7DAFBF34" w14:textId="77777777" w:rsidR="00B24E0A" w:rsidRPr="007424E0" w:rsidRDefault="00B24E0A" w:rsidP="000F6D48">
            <w:pPr>
              <w:pStyle w:val="paragraph"/>
              <w:numPr>
                <w:ilvl w:val="0"/>
                <w:numId w:val="10"/>
              </w:numPr>
              <w:spacing w:before="0" w:beforeAutospacing="0" w:after="0" w:afterAutospacing="0"/>
              <w:ind w:left="1080" w:firstLine="0"/>
              <w:textAlignment w:val="baseline"/>
              <w:rPr>
                <w:sz w:val="20"/>
                <w:szCs w:val="20"/>
              </w:rPr>
            </w:pPr>
            <w:r w:rsidRPr="007424E0">
              <w:rPr>
                <w:rStyle w:val="normaltextrun"/>
                <w:b/>
                <w:bCs/>
                <w:sz w:val="20"/>
                <w:szCs w:val="20"/>
              </w:rPr>
              <w:t>(Core Plan) 4% Federal Credit – Bond Financed Projects</w:t>
            </w:r>
            <w:r w:rsidRPr="007424E0">
              <w:rPr>
                <w:rStyle w:val="normaltextrun"/>
                <w:sz w:val="20"/>
                <w:szCs w:val="20"/>
              </w:rPr>
              <w:t xml:space="preserve">, subsection </w:t>
            </w:r>
            <w:r w:rsidRPr="007424E0">
              <w:rPr>
                <w:rStyle w:val="normaltextrun"/>
                <w:b/>
                <w:bCs/>
                <w:sz w:val="20"/>
                <w:szCs w:val="20"/>
              </w:rPr>
              <w:t>B. Application Restrictions:</w:t>
            </w:r>
            <w:r w:rsidRPr="007424E0">
              <w:rPr>
                <w:rStyle w:val="normaltextrun"/>
                <w:sz w:val="20"/>
                <w:szCs w:val="20"/>
              </w:rPr>
              <w:t xml:space="preserve"> For purposes of 4% Credit Applications, “Scattered site applications are only eligible for consideration if proposing rehabilitation of properties funded by USDA, a RAD conversion, or approved during the Pre-Application process.” </w:t>
            </w:r>
            <w:r w:rsidRPr="007424E0">
              <w:rPr>
                <w:rStyle w:val="eop"/>
                <w:sz w:val="20"/>
                <w:szCs w:val="20"/>
              </w:rPr>
              <w:t> </w:t>
            </w:r>
          </w:p>
          <w:p w14:paraId="5A473369" w14:textId="77777777" w:rsidR="00B24E0A" w:rsidRPr="007424E0" w:rsidRDefault="00B24E0A" w:rsidP="000F6D48">
            <w:pPr>
              <w:textAlignment w:val="baseline"/>
              <w:rPr>
                <w:rFonts w:ascii="Times New Roman" w:eastAsia="Times New Roman" w:hAnsi="Times New Roman" w:cs="Times New Roman"/>
                <w:b/>
                <w:bCs/>
                <w:sz w:val="20"/>
                <w:szCs w:val="20"/>
              </w:rPr>
            </w:pPr>
          </w:p>
        </w:tc>
      </w:tr>
      <w:tr w:rsidR="00B24E0A" w:rsidRPr="007424E0" w14:paraId="23B6466E" w14:textId="77777777" w:rsidTr="64301FE8">
        <w:trPr>
          <w:jc w:val="center"/>
        </w:trPr>
        <w:tc>
          <w:tcPr>
            <w:tcW w:w="1697" w:type="dxa"/>
            <w:shd w:val="clear" w:color="auto" w:fill="auto"/>
            <w:tcMar>
              <w:top w:w="72" w:type="dxa"/>
              <w:left w:w="115" w:type="dxa"/>
              <w:bottom w:w="72" w:type="dxa"/>
              <w:right w:w="115" w:type="dxa"/>
            </w:tcMar>
            <w:vAlign w:val="center"/>
          </w:tcPr>
          <w:p w14:paraId="363493B2" w14:textId="77777777" w:rsidR="00B24E0A" w:rsidRPr="007424E0" w:rsidRDefault="00B24E0A" w:rsidP="000F6D48">
            <w:pPr>
              <w:rPr>
                <w:rFonts w:ascii="Times New Roman" w:hAnsi="Times New Roman" w:cs="Times New Roman"/>
                <w:noProof/>
                <w:sz w:val="20"/>
                <w:szCs w:val="20"/>
              </w:rPr>
            </w:pPr>
            <w:r w:rsidRPr="007424E0">
              <w:rPr>
                <w:rFonts w:ascii="Times New Roman" w:hAnsi="Times New Roman" w:cs="Times New Roman"/>
                <w:noProof/>
                <w:sz w:val="20"/>
                <w:szCs w:val="20"/>
              </w:rPr>
              <w:t>3/22/22</w:t>
            </w:r>
          </w:p>
        </w:tc>
        <w:tc>
          <w:tcPr>
            <w:tcW w:w="2663" w:type="dxa"/>
            <w:shd w:val="clear" w:color="auto" w:fill="auto"/>
            <w:tcMar>
              <w:top w:w="72" w:type="dxa"/>
              <w:left w:w="115" w:type="dxa"/>
              <w:bottom w:w="72" w:type="dxa"/>
              <w:right w:w="115" w:type="dxa"/>
            </w:tcMar>
            <w:vAlign w:val="center"/>
          </w:tcPr>
          <w:p w14:paraId="1A12F46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3.08</w:t>
            </w:r>
          </w:p>
          <w:p w14:paraId="6436B3A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Scoring Criteria; </w:t>
            </w:r>
          </w:p>
          <w:p w14:paraId="2196521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Revitalization/Redevelopment Plans</w:t>
            </w:r>
          </w:p>
        </w:tc>
        <w:tc>
          <w:tcPr>
            <w:tcW w:w="9585" w:type="dxa"/>
            <w:shd w:val="clear" w:color="auto" w:fill="auto"/>
            <w:tcMar>
              <w:top w:w="72" w:type="dxa"/>
              <w:left w:w="115" w:type="dxa"/>
              <w:bottom w:w="72" w:type="dxa"/>
              <w:right w:w="115" w:type="dxa"/>
            </w:tcMar>
            <w:vAlign w:val="center"/>
          </w:tcPr>
          <w:p w14:paraId="1ED879C7"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Q22_0302_04</w:t>
            </w:r>
            <w:r w:rsidRPr="007424E0">
              <w:rPr>
                <w:rStyle w:val="eop"/>
                <w:sz w:val="20"/>
                <w:szCs w:val="20"/>
              </w:rPr>
              <w:t> </w:t>
            </w:r>
          </w:p>
          <w:p w14:paraId="71C481F6"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Regarding </w:t>
            </w:r>
            <w:r w:rsidRPr="007424E0">
              <w:rPr>
                <w:rStyle w:val="normaltextrun"/>
                <w:b/>
                <w:bCs/>
                <w:sz w:val="20"/>
                <w:szCs w:val="20"/>
              </w:rPr>
              <w:t>(Scoring Criteria) Revitalization/Redevelopment Plans</w:t>
            </w:r>
            <w:r w:rsidRPr="007424E0">
              <w:rPr>
                <w:rStyle w:val="normaltextrun"/>
                <w:sz w:val="20"/>
                <w:szCs w:val="20"/>
              </w:rPr>
              <w:t>, subsection</w:t>
            </w:r>
            <w:r w:rsidRPr="007424E0">
              <w:rPr>
                <w:rStyle w:val="normaltextrun"/>
                <w:b/>
                <w:bCs/>
                <w:sz w:val="20"/>
                <w:szCs w:val="20"/>
              </w:rPr>
              <w:t xml:space="preserve"> A. Revitalization Plan/Qualified Census Tract</w:t>
            </w:r>
            <w:r w:rsidRPr="007424E0">
              <w:rPr>
                <w:rStyle w:val="normaltextrun"/>
                <w:sz w:val="20"/>
                <w:szCs w:val="20"/>
              </w:rPr>
              <w:t>,</w:t>
            </w:r>
            <w:r w:rsidRPr="007424E0">
              <w:rPr>
                <w:rStyle w:val="scxw120489810"/>
                <w:rFonts w:eastAsiaTheme="majorEastAsia"/>
                <w:sz w:val="20"/>
                <w:szCs w:val="20"/>
              </w:rPr>
              <w:t> </w:t>
            </w:r>
            <w:r w:rsidRPr="007424E0">
              <w:rPr>
                <w:rStyle w:val="normaltextrun"/>
                <w:sz w:val="20"/>
                <w:szCs w:val="20"/>
              </w:rPr>
              <w:t>to be eligible for the “One (1) additional point [for] Local Government …financial commitment to advancing the CRP”, does the investment have to be located within a 0.5-mile radius of the proposed site, considering to be eligible for at least 1 point under subsection B. Third-Party Capital Investment, the investment would need to be within a 0.5-mile radius of the site?</w:t>
            </w:r>
            <w:r w:rsidRPr="007424E0">
              <w:rPr>
                <w:rStyle w:val="eop"/>
                <w:sz w:val="20"/>
                <w:szCs w:val="20"/>
              </w:rPr>
              <w:t> </w:t>
            </w:r>
          </w:p>
          <w:p w14:paraId="1ABA9CD3"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041F183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37F05CA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The QAP states:</w:t>
            </w:r>
            <w:r w:rsidRPr="007424E0">
              <w:rPr>
                <w:rStyle w:val="eop"/>
                <w:sz w:val="20"/>
                <w:szCs w:val="20"/>
              </w:rPr>
              <w:t> </w:t>
            </w:r>
          </w:p>
          <w:p w14:paraId="1B1F63BD"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E4200CF" w14:textId="77777777" w:rsidR="00B24E0A" w:rsidRPr="007424E0" w:rsidRDefault="00B24E0A" w:rsidP="000F6D48">
            <w:pPr>
              <w:pStyle w:val="paragraph"/>
              <w:spacing w:before="0" w:beforeAutospacing="0" w:after="0" w:afterAutospacing="0"/>
              <w:ind w:left="720"/>
              <w:textAlignment w:val="baseline"/>
              <w:rPr>
                <w:sz w:val="20"/>
                <w:szCs w:val="20"/>
              </w:rPr>
            </w:pPr>
            <w:r w:rsidRPr="007424E0">
              <w:rPr>
                <w:rStyle w:val="normaltextrun"/>
                <w:i/>
                <w:iCs/>
                <w:sz w:val="20"/>
                <w:szCs w:val="20"/>
              </w:rPr>
              <w:t xml:space="preserve">“Applications eligible for the above points are also eligible for any or </w:t>
            </w:r>
            <w:r w:rsidRPr="007424E0">
              <w:rPr>
                <w:rStyle w:val="advancedproofingissue"/>
                <w:i/>
                <w:iCs/>
                <w:sz w:val="20"/>
                <w:szCs w:val="20"/>
              </w:rPr>
              <w:t>all of</w:t>
            </w:r>
            <w:r w:rsidRPr="007424E0">
              <w:rPr>
                <w:rStyle w:val="normaltextrun"/>
                <w:i/>
                <w:iCs/>
                <w:sz w:val="20"/>
                <w:szCs w:val="20"/>
              </w:rPr>
              <w:t xml:space="preserve"> the following:</w:t>
            </w:r>
            <w:r w:rsidRPr="007424E0">
              <w:rPr>
                <w:rStyle w:val="eop"/>
                <w:sz w:val="20"/>
                <w:szCs w:val="20"/>
              </w:rPr>
              <w:t> </w:t>
            </w:r>
          </w:p>
          <w:p w14:paraId="6525D30C" w14:textId="77777777" w:rsidR="00B24E0A" w:rsidRPr="007424E0" w:rsidRDefault="00B24E0A" w:rsidP="000F6D48">
            <w:pPr>
              <w:pStyle w:val="paragraph"/>
              <w:numPr>
                <w:ilvl w:val="0"/>
                <w:numId w:val="9"/>
              </w:numPr>
              <w:spacing w:before="0" w:beforeAutospacing="0" w:after="0" w:afterAutospacing="0"/>
              <w:ind w:left="2160" w:firstLine="0"/>
              <w:textAlignment w:val="baseline"/>
              <w:rPr>
                <w:sz w:val="20"/>
                <w:szCs w:val="20"/>
              </w:rPr>
            </w:pPr>
            <w:r w:rsidRPr="007424E0">
              <w:rPr>
                <w:rStyle w:val="normaltextrun"/>
                <w:b/>
                <w:bCs/>
                <w:i/>
                <w:iCs/>
                <w:sz w:val="20"/>
                <w:szCs w:val="20"/>
              </w:rPr>
              <w:t>One (1) additional point</w:t>
            </w:r>
            <w:r w:rsidRPr="007424E0">
              <w:rPr>
                <w:rStyle w:val="normaltextrun"/>
                <w:i/>
                <w:iCs/>
                <w:sz w:val="20"/>
                <w:szCs w:val="20"/>
              </w:rPr>
              <w:t xml:space="preserve"> if the Local Government demonstrates financial commitment to advancing the CRP in the form of funds raised, funds allocated, tax incentives, or local government fee waivers. Funds raised or allocated are only eligible for this point if the amount would be eligible for at least one (1) point under subsection </w:t>
            </w:r>
            <w:r w:rsidRPr="007424E0">
              <w:rPr>
                <w:rStyle w:val="normaltextrun"/>
                <w:sz w:val="20"/>
                <w:szCs w:val="20"/>
              </w:rPr>
              <w:t>B. Third-Party Capital Investment</w:t>
            </w:r>
            <w:r w:rsidRPr="007424E0">
              <w:rPr>
                <w:rStyle w:val="normaltextrun"/>
                <w:i/>
                <w:iCs/>
                <w:sz w:val="20"/>
                <w:szCs w:val="20"/>
              </w:rPr>
              <w:t>.”</w:t>
            </w:r>
            <w:r w:rsidRPr="007424E0">
              <w:rPr>
                <w:rStyle w:val="eop"/>
                <w:sz w:val="20"/>
                <w:szCs w:val="20"/>
              </w:rPr>
              <w:t> </w:t>
            </w:r>
          </w:p>
          <w:p w14:paraId="771E68FE"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4AEDF38" w14:textId="77777777" w:rsidR="00B24E0A" w:rsidRPr="007424E0" w:rsidRDefault="00B24E0A" w:rsidP="000F6D48">
            <w:pPr>
              <w:pStyle w:val="paragraph"/>
              <w:spacing w:before="0" w:beforeAutospacing="0" w:after="0" w:afterAutospacing="0"/>
              <w:textAlignment w:val="baseline"/>
              <w:rPr>
                <w:rStyle w:val="normaltextrun"/>
                <w:sz w:val="20"/>
                <w:szCs w:val="20"/>
              </w:rPr>
            </w:pPr>
            <w:r w:rsidRPr="007424E0">
              <w:rPr>
                <w:rStyle w:val="normaltextrun"/>
                <w:sz w:val="20"/>
                <w:szCs w:val="20"/>
              </w:rPr>
              <w:t xml:space="preserve">To be eligible for this point, just the </w:t>
            </w:r>
            <w:r w:rsidRPr="007424E0">
              <w:rPr>
                <w:rStyle w:val="normaltextrun"/>
                <w:sz w:val="20"/>
                <w:szCs w:val="20"/>
                <w:u w:val="single"/>
              </w:rPr>
              <w:t>amount</w:t>
            </w:r>
            <w:r w:rsidRPr="007424E0">
              <w:rPr>
                <w:rStyle w:val="normaltextrun"/>
                <w:sz w:val="20"/>
                <w:szCs w:val="20"/>
              </w:rPr>
              <w:t xml:space="preserve"> of funds raised or allocated must be eligible for at least one (1) point under subsection </w:t>
            </w:r>
            <w:r w:rsidRPr="007424E0">
              <w:rPr>
                <w:rStyle w:val="normaltextrun"/>
                <w:i/>
                <w:iCs/>
                <w:sz w:val="20"/>
                <w:szCs w:val="20"/>
              </w:rPr>
              <w:t>B. Third-Party Capital Investment</w:t>
            </w:r>
            <w:r w:rsidRPr="007424E0">
              <w:rPr>
                <w:rStyle w:val="normaltextrun"/>
                <w:sz w:val="20"/>
                <w:szCs w:val="20"/>
              </w:rPr>
              <w:t>. The Local Government financial commitment must advance the CRP but is not required to occur within 0.5-mile radius of the proposed site.</w:t>
            </w:r>
            <w:r w:rsidRPr="007424E0">
              <w:rPr>
                <w:rStyle w:val="eop"/>
                <w:sz w:val="20"/>
                <w:szCs w:val="20"/>
              </w:rPr>
              <w:t> </w:t>
            </w:r>
          </w:p>
        </w:tc>
      </w:tr>
      <w:tr w:rsidR="00B24E0A" w:rsidRPr="007424E0" w14:paraId="4250CAC8" w14:textId="77777777" w:rsidTr="64301FE8">
        <w:trPr>
          <w:jc w:val="center"/>
        </w:trPr>
        <w:tc>
          <w:tcPr>
            <w:tcW w:w="1697" w:type="dxa"/>
            <w:shd w:val="clear" w:color="auto" w:fill="auto"/>
            <w:tcMar>
              <w:top w:w="72" w:type="dxa"/>
              <w:left w:w="115" w:type="dxa"/>
              <w:bottom w:w="72" w:type="dxa"/>
              <w:right w:w="115" w:type="dxa"/>
            </w:tcMar>
            <w:vAlign w:val="center"/>
          </w:tcPr>
          <w:p w14:paraId="22B8B0B2"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225F622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2.03</w:t>
            </w:r>
          </w:p>
          <w:p w14:paraId="404427B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11B452E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Tenancy Characteristics</w:t>
            </w:r>
          </w:p>
        </w:tc>
        <w:tc>
          <w:tcPr>
            <w:tcW w:w="9585" w:type="dxa"/>
            <w:shd w:val="clear" w:color="auto" w:fill="auto"/>
            <w:tcMar>
              <w:top w:w="72" w:type="dxa"/>
              <w:left w:w="115" w:type="dxa"/>
              <w:bottom w:w="72" w:type="dxa"/>
              <w:right w:w="115" w:type="dxa"/>
            </w:tcMar>
            <w:vAlign w:val="center"/>
          </w:tcPr>
          <w:p w14:paraId="4DDD1CF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Q1222_01 </w:t>
            </w:r>
          </w:p>
          <w:p w14:paraId="36AD20A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a project have both Family and Elderly tenancy, with a small portion of units set aside for Elderly? </w:t>
            </w:r>
          </w:p>
          <w:p w14:paraId="2ACA4FE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2E6740D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4A2EF9E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QAP states in </w:t>
            </w:r>
            <w:r w:rsidRPr="007424E0">
              <w:rPr>
                <w:rFonts w:ascii="Times New Roman" w:eastAsia="Times New Roman" w:hAnsi="Times New Roman" w:cs="Times New Roman"/>
                <w:b/>
                <w:bCs/>
                <w:sz w:val="20"/>
                <w:szCs w:val="20"/>
              </w:rPr>
              <w:t>Threshold, Tenancy Characteristics</w:t>
            </w:r>
            <w:r w:rsidRPr="007424E0">
              <w:rPr>
                <w:rFonts w:ascii="Times New Roman" w:eastAsia="Times New Roman" w:hAnsi="Times New Roman" w:cs="Times New Roman"/>
                <w:sz w:val="20"/>
                <w:szCs w:val="20"/>
              </w:rPr>
              <w:t>: </w:t>
            </w:r>
          </w:p>
          <w:p w14:paraId="0735FA8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CD9885A"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t>
            </w:r>
            <w:r w:rsidRPr="007424E0">
              <w:rPr>
                <w:rFonts w:ascii="Times New Roman" w:eastAsia="Times New Roman" w:hAnsi="Times New Roman" w:cs="Times New Roman"/>
                <w:i/>
                <w:iCs/>
                <w:sz w:val="20"/>
                <w:szCs w:val="20"/>
              </w:rPr>
              <w:t>All Applicants must designate the proposed development as targeting one of the following tenancies [Family, Senior (Elderly or Housing for Older Persons), Other].”</w:t>
            </w:r>
            <w:r w:rsidRPr="007424E0">
              <w:rPr>
                <w:rFonts w:ascii="Times New Roman" w:eastAsia="Times New Roman" w:hAnsi="Times New Roman" w:cs="Times New Roman"/>
                <w:sz w:val="20"/>
                <w:szCs w:val="20"/>
              </w:rPr>
              <w:t> </w:t>
            </w:r>
          </w:p>
          <w:p w14:paraId="0050C715"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5F210B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Applicants must select one tenancy per a</w:t>
            </w:r>
            <w:r w:rsidRPr="007424E0">
              <w:rPr>
                <w:rFonts w:ascii="Times New Roman" w:hAnsi="Times New Roman" w:cs="Times New Roman"/>
                <w:sz w:val="20"/>
                <w:szCs w:val="20"/>
              </w:rPr>
              <w:t>pplication</w:t>
            </w:r>
            <w:r w:rsidRPr="007424E0">
              <w:rPr>
                <w:rFonts w:ascii="Times New Roman" w:eastAsia="Times New Roman" w:hAnsi="Times New Roman" w:cs="Times New Roman"/>
                <w:sz w:val="20"/>
                <w:szCs w:val="20"/>
              </w:rPr>
              <w:t>. </w:t>
            </w:r>
          </w:p>
          <w:p w14:paraId="227772FB"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p>
          <w:p w14:paraId="5B82C1C7"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Style w:val="normaltextrun"/>
                <w:rFonts w:ascii="Times New Roman" w:eastAsia="Times New Roman" w:hAnsi="Times New Roman" w:cs="Times New Roman"/>
                <w:sz w:val="20"/>
                <w:szCs w:val="20"/>
              </w:rPr>
              <w:t>Included in this question was the comment that “[This tenancy circumstance] is not contemplated within the current QAP but was common on some projects a few decades ago.” DCA has logged this public input for purposes of 2023 QAP policy development.</w:t>
            </w:r>
          </w:p>
        </w:tc>
      </w:tr>
      <w:tr w:rsidR="00B24E0A" w:rsidRPr="007424E0" w14:paraId="0D9E128D" w14:textId="77777777" w:rsidTr="64301FE8">
        <w:trPr>
          <w:jc w:val="center"/>
        </w:trPr>
        <w:tc>
          <w:tcPr>
            <w:tcW w:w="1697" w:type="dxa"/>
            <w:shd w:val="clear" w:color="auto" w:fill="auto"/>
            <w:tcMar>
              <w:top w:w="72" w:type="dxa"/>
              <w:left w:w="115" w:type="dxa"/>
              <w:bottom w:w="72" w:type="dxa"/>
              <w:right w:w="115" w:type="dxa"/>
            </w:tcMar>
            <w:vAlign w:val="center"/>
          </w:tcPr>
          <w:p w14:paraId="30802C2E"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402BAC2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2.20 </w:t>
            </w:r>
          </w:p>
          <w:p w14:paraId="66789DB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3C47B39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p w14:paraId="25C0E16D" w14:textId="77777777" w:rsidR="00B24E0A" w:rsidRPr="007424E0" w:rsidRDefault="00B24E0A" w:rsidP="000F6D48">
            <w:pPr>
              <w:rPr>
                <w:rFonts w:ascii="Times New Roman" w:hAnsi="Times New Roman" w:cs="Times New Roman"/>
                <w:sz w:val="20"/>
                <w:szCs w:val="20"/>
              </w:rPr>
            </w:pPr>
          </w:p>
          <w:p w14:paraId="7394CFF6" w14:textId="77777777" w:rsidR="00B24E0A" w:rsidRPr="007424E0" w:rsidRDefault="00B24E0A" w:rsidP="000F6D48">
            <w:pPr>
              <w:rPr>
                <w:rFonts w:ascii="Times New Roman" w:hAnsi="Times New Roman" w:cs="Times New Roman"/>
                <w:sz w:val="20"/>
                <w:szCs w:val="20"/>
              </w:rPr>
            </w:pPr>
          </w:p>
          <w:p w14:paraId="2EFB078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(also 3.17 Scoring; Minority- and Women-Owned Business Engagement)</w:t>
            </w:r>
          </w:p>
        </w:tc>
        <w:tc>
          <w:tcPr>
            <w:tcW w:w="9585" w:type="dxa"/>
            <w:shd w:val="clear" w:color="auto" w:fill="auto"/>
            <w:tcMar>
              <w:top w:w="72" w:type="dxa"/>
              <w:left w:w="115" w:type="dxa"/>
              <w:bottom w:w="72" w:type="dxa"/>
              <w:right w:w="115" w:type="dxa"/>
            </w:tcMar>
            <w:vAlign w:val="center"/>
          </w:tcPr>
          <w:p w14:paraId="6F5BB28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Q22_0309_05</w:t>
            </w:r>
            <w:r w:rsidRPr="007424E0">
              <w:rPr>
                <w:rStyle w:val="eop"/>
                <w:sz w:val="20"/>
                <w:szCs w:val="20"/>
              </w:rPr>
              <w:t> </w:t>
            </w:r>
          </w:p>
          <w:p w14:paraId="2BDC0C7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33D789D9" w14:textId="77777777" w:rsidR="00B24E0A" w:rsidRPr="007424E0" w:rsidRDefault="00B24E0A"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Can you provide some examples of the "evidence" of full-time employment and material participation in successful Tax Credit projects that an MBE needs to provide to qualify under Probationary Participation. If the MBE developer gained experience as an employee at another development company, then the Partnership documents, etc. would not reflect their material contribution. Can the developer provide a letter from their prior employer?</w:t>
            </w:r>
            <w:r w:rsidRPr="007424E0">
              <w:rPr>
                <w:rStyle w:val="scxw67467753"/>
                <w:rFonts w:eastAsia="MS Mincho"/>
                <w:sz w:val="20"/>
                <w:szCs w:val="20"/>
              </w:rPr>
              <w:t> </w:t>
            </w:r>
            <w:r w:rsidRPr="007424E0">
              <w:rPr>
                <w:rFonts w:eastAsia="MS Mincho"/>
                <w:sz w:val="20"/>
                <w:szCs w:val="20"/>
              </w:rPr>
              <w:br/>
            </w:r>
            <w:r w:rsidRPr="007424E0">
              <w:rPr>
                <w:rStyle w:val="eop"/>
                <w:rFonts w:eastAsia="MS Mincho"/>
                <w:sz w:val="20"/>
                <w:szCs w:val="20"/>
              </w:rPr>
              <w:t> </w:t>
            </w:r>
          </w:p>
          <w:p w14:paraId="6ED02864" w14:textId="77777777" w:rsidR="00B24E0A" w:rsidRPr="007424E0" w:rsidRDefault="00B24E0A" w:rsidP="000F6D48">
            <w:pPr>
              <w:pStyle w:val="paragraph"/>
              <w:numPr>
                <w:ilvl w:val="0"/>
                <w:numId w:val="8"/>
              </w:numPr>
              <w:spacing w:before="0" w:beforeAutospacing="0" w:after="0" w:afterAutospacing="0"/>
              <w:ind w:left="1080" w:firstLine="0"/>
              <w:textAlignment w:val="baseline"/>
              <w:rPr>
                <w:rFonts w:eastAsia="MS Mincho"/>
                <w:sz w:val="20"/>
                <w:szCs w:val="20"/>
              </w:rPr>
            </w:pPr>
            <w:r w:rsidRPr="007424E0">
              <w:rPr>
                <w:rStyle w:val="normaltextrun"/>
                <w:rFonts w:eastAsia="MS Mincho"/>
                <w:sz w:val="20"/>
                <w:szCs w:val="20"/>
              </w:rPr>
              <w:t>What type of evidence is acceptable to show that I have participated in successful Tax Credit deals? Some of my work was with another development company that I no longer work for. Will a letter from my prior employer be acceptable?</w:t>
            </w:r>
            <w:r w:rsidRPr="007424E0">
              <w:rPr>
                <w:rStyle w:val="eop"/>
                <w:rFonts w:eastAsia="MS Mincho"/>
                <w:sz w:val="20"/>
                <w:szCs w:val="20"/>
              </w:rPr>
              <w:t> </w:t>
            </w:r>
          </w:p>
          <w:p w14:paraId="42AA670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E3E9A1C"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62AAEA9A"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 </w:t>
            </w:r>
            <w:r w:rsidRPr="007424E0">
              <w:rPr>
                <w:rStyle w:val="eop"/>
                <w:sz w:val="20"/>
                <w:szCs w:val="20"/>
              </w:rPr>
              <w:t> </w:t>
            </w:r>
          </w:p>
          <w:p w14:paraId="51F70C42"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Please provide any evidence available to substantiate full-time employment and material participation. If DCA requires further evidence during the Pre-Application review, staff will reach out to solicit additional information. </w:t>
            </w:r>
            <w:r w:rsidRPr="007424E0">
              <w:rPr>
                <w:rStyle w:val="eop"/>
                <w:sz w:val="20"/>
                <w:szCs w:val="20"/>
              </w:rPr>
              <w:t> </w:t>
            </w:r>
          </w:p>
        </w:tc>
      </w:tr>
      <w:tr w:rsidR="00B24E0A" w:rsidRPr="007424E0" w14:paraId="766D10D9" w14:textId="77777777" w:rsidTr="64301FE8">
        <w:trPr>
          <w:jc w:val="center"/>
        </w:trPr>
        <w:tc>
          <w:tcPr>
            <w:tcW w:w="1697" w:type="dxa"/>
            <w:shd w:val="clear" w:color="auto" w:fill="auto"/>
            <w:tcMar>
              <w:top w:w="72" w:type="dxa"/>
              <w:left w:w="115" w:type="dxa"/>
              <w:bottom w:w="72" w:type="dxa"/>
              <w:right w:w="115" w:type="dxa"/>
            </w:tcMar>
            <w:vAlign w:val="center"/>
          </w:tcPr>
          <w:p w14:paraId="043A6525"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4F46FF9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71C7A10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1278DE8A"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41FDFDB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Q22_0304_45 </w:t>
            </w:r>
          </w:p>
          <w:p w14:paraId="47FB4E6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Page 40 of the 2022 Relocation Manual says that the "Initiation of Negotiation" date for LIHTC-only developments is the date the Applicant executes the Limited Partnership Agreement. Can you please confirm this is the date of the Amended and Restated Agreement when the property is syndicated? </w:t>
            </w:r>
          </w:p>
          <w:p w14:paraId="0EFC18C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784FE6E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C593C5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the date of the Amended and Restated Agreement when the property is syndicated. </w:t>
            </w:r>
          </w:p>
        </w:tc>
      </w:tr>
      <w:tr w:rsidR="00B24E0A" w:rsidRPr="007424E0" w14:paraId="1FB4975A" w14:textId="77777777" w:rsidTr="64301FE8">
        <w:trPr>
          <w:jc w:val="center"/>
        </w:trPr>
        <w:tc>
          <w:tcPr>
            <w:tcW w:w="1697" w:type="dxa"/>
            <w:shd w:val="clear" w:color="auto" w:fill="auto"/>
            <w:tcMar>
              <w:top w:w="72" w:type="dxa"/>
              <w:left w:w="115" w:type="dxa"/>
              <w:bottom w:w="72" w:type="dxa"/>
              <w:right w:w="115" w:type="dxa"/>
            </w:tcMar>
            <w:vAlign w:val="center"/>
          </w:tcPr>
          <w:p w14:paraId="512C51F6"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3/9/22</w:t>
            </w:r>
          </w:p>
        </w:tc>
        <w:tc>
          <w:tcPr>
            <w:tcW w:w="2663" w:type="dxa"/>
            <w:shd w:val="clear" w:color="auto" w:fill="auto"/>
            <w:tcMar>
              <w:top w:w="72" w:type="dxa"/>
              <w:left w:w="115" w:type="dxa"/>
              <w:bottom w:w="72" w:type="dxa"/>
              <w:right w:w="115" w:type="dxa"/>
            </w:tcMar>
            <w:vAlign w:val="center"/>
          </w:tcPr>
          <w:p w14:paraId="2C51316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41E0C02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638E83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30327C5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Q22_0309_01 </w:t>
            </w:r>
          </w:p>
          <w:p w14:paraId="1BD841E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DCA Underwriting Policies</w:t>
            </w:r>
            <w:r w:rsidRPr="007424E0">
              <w:rPr>
                <w:rFonts w:ascii="Times New Roman" w:eastAsia="Times New Roman" w:hAnsi="Times New Roman" w:cs="Times New Roman"/>
                <w:sz w:val="20"/>
                <w:szCs w:val="20"/>
              </w:rPr>
              <w:t xml:space="preserve">: requirement </w:t>
            </w:r>
            <w:r w:rsidRPr="007424E0">
              <w:rPr>
                <w:rFonts w:ascii="Times New Roman" w:eastAsia="Times New Roman" w:hAnsi="Times New Roman" w:cs="Times New Roman"/>
                <w:b/>
                <w:bCs/>
                <w:sz w:val="20"/>
                <w:szCs w:val="20"/>
              </w:rPr>
              <w:t>11. Distribution across Unit / Bedroom Sizes</w:t>
            </w:r>
            <w:r w:rsidRPr="007424E0">
              <w:rPr>
                <w:rFonts w:ascii="Times New Roman" w:eastAsia="Times New Roman" w:hAnsi="Times New Roman" w:cs="Times New Roman"/>
                <w:sz w:val="20"/>
                <w:szCs w:val="20"/>
              </w:rPr>
              <w:t>: "a) Rent. Projects with a multi-tiered rent structure must distribute the rents across unit sizes, unit types and buildings. These units need not be fixed, but may float in the same way high HOME rent and low HOME rent units may float within a project so long as the units and interior amenities are comparable." </w:t>
            </w:r>
          </w:p>
          <w:p w14:paraId="5265659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16F7BC9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this section is only applicable to Income Average unit mixes, or might it also apply to standard 40/60 deals as well?  For instance, if a 40/60 set-aside deal has x-number of units set aside at 60% AMI and x-number of units as market rate, would this distribution requirement apply, considering the combination of 60% units and market rate might be considered a "muti-tiered rent structure".  Likewise, considering a 40/60 set-aside deal that has elected deeper targeting to 58% overall, and has x-number of units at 60% AMI and x-number of units at 50% AMI, would the 60% and 50% units in this scenario be subject to this distribution requirement, as this might be considered a "multi-tiered rent structure"?  </w:t>
            </w:r>
          </w:p>
          <w:p w14:paraId="390B633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04EA3E2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a Pre-Application waiver for Distribution Across Unit / Bedroom Sizes only necessary if the applicant is electing an Income Average set-aside and the unit mix difference between the proposed and exact units is not within 2 units? </w:t>
            </w:r>
          </w:p>
          <w:p w14:paraId="29600E3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50EA4A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DCF95D9" w14:textId="77777777" w:rsidR="00B24E0A" w:rsidRPr="007424E0" w:rsidRDefault="00B24E0A" w:rsidP="000F6D48">
            <w:pPr>
              <w:textAlignment w:val="baseline"/>
              <w:rPr>
                <w:rStyle w:val="normaltextrun"/>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above-referenced requirement for “Projects with a multi-tiered rent structure” only applies to applications electing the Average Income Set Aside. See DCA’s Average Income Policy for more information (</w:t>
            </w:r>
            <w:hyperlink r:id="rId57" w:tgtFrame="_blank" w:history="1">
              <w:r w:rsidRPr="007424E0">
                <w:rPr>
                  <w:rFonts w:ascii="Times New Roman" w:eastAsia="Times New Roman" w:hAnsi="Times New Roman" w:cs="Times New Roman"/>
                  <w:sz w:val="20"/>
                  <w:szCs w:val="20"/>
                  <w:u w:val="single"/>
                </w:rPr>
                <w:t>click here</w:t>
              </w:r>
            </w:hyperlink>
            <w:r w:rsidRPr="007424E0">
              <w:rPr>
                <w:rFonts w:ascii="Times New Roman" w:eastAsia="Times New Roman" w:hAnsi="Times New Roman" w:cs="Times New Roman"/>
                <w:sz w:val="20"/>
                <w:szCs w:val="20"/>
              </w:rPr>
              <w:t xml:space="preserve"> for DCA’s Compliance Monitoring homepage, visit the “Tax Credit” page, download “</w:t>
            </w:r>
            <w:r w:rsidRPr="007424E0">
              <w:rPr>
                <w:rFonts w:ascii="Times New Roman" w:eastAsia="Times New Roman" w:hAnsi="Times New Roman" w:cs="Times New Roman"/>
                <w:b/>
                <w:bCs/>
                <w:sz w:val="20"/>
                <w:szCs w:val="20"/>
              </w:rPr>
              <w:t>DCA's Average Income Policy (updated 2021)</w:t>
            </w:r>
            <w:r w:rsidRPr="007424E0">
              <w:rPr>
                <w:rFonts w:ascii="Times New Roman" w:eastAsia="Times New Roman" w:hAnsi="Times New Roman" w:cs="Times New Roman"/>
                <w:sz w:val="20"/>
                <w:szCs w:val="20"/>
              </w:rPr>
              <w:t xml:space="preserve">, and view subsection </w:t>
            </w:r>
            <w:r w:rsidRPr="007424E0">
              <w:rPr>
                <w:rFonts w:ascii="Times New Roman" w:eastAsia="Times New Roman" w:hAnsi="Times New Roman" w:cs="Times New Roman"/>
                <w:b/>
                <w:bCs/>
                <w:sz w:val="20"/>
                <w:szCs w:val="20"/>
              </w:rPr>
              <w:t>B. DCA adopted requirements and interpretations</w:t>
            </w:r>
            <w:r w:rsidRPr="007424E0">
              <w:rPr>
                <w:rFonts w:ascii="Times New Roman" w:eastAsia="Times New Roman" w:hAnsi="Times New Roman" w:cs="Times New Roman"/>
                <w:sz w:val="20"/>
                <w:szCs w:val="20"/>
              </w:rPr>
              <w:t>”). </w:t>
            </w:r>
          </w:p>
        </w:tc>
      </w:tr>
      <w:tr w:rsidR="00B24E0A" w:rsidRPr="007424E0" w14:paraId="43E64217" w14:textId="77777777" w:rsidTr="64301FE8">
        <w:trPr>
          <w:jc w:val="center"/>
        </w:trPr>
        <w:tc>
          <w:tcPr>
            <w:tcW w:w="1697" w:type="dxa"/>
            <w:shd w:val="clear" w:color="auto" w:fill="auto"/>
            <w:tcMar>
              <w:top w:w="72" w:type="dxa"/>
              <w:left w:w="115" w:type="dxa"/>
              <w:bottom w:w="72" w:type="dxa"/>
              <w:right w:w="115" w:type="dxa"/>
            </w:tcMar>
            <w:vAlign w:val="center"/>
          </w:tcPr>
          <w:p w14:paraId="6E1F125D"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39105C3E"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43AF841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3F6AA6A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7988B8D2"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Q22_0302_03</w:t>
            </w:r>
          </w:p>
          <w:p w14:paraId="0D27542B"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2022 Supplemental Pre-Application workbook (</w:t>
            </w:r>
            <w:hyperlink r:id="rId58"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 xml:space="preserve">), a Relocation Summary tab is included. The Instructions tab of this workbook includes the following related language: </w:t>
            </w:r>
          </w:p>
          <w:p w14:paraId="38D49D1C" w14:textId="77777777" w:rsidR="00B24E0A" w:rsidRPr="007424E0" w:rsidRDefault="00B24E0A" w:rsidP="000F6D48">
            <w:pPr>
              <w:rPr>
                <w:rFonts w:ascii="Times New Roman" w:eastAsia="Times New Roman" w:hAnsi="Times New Roman" w:cs="Times New Roman"/>
                <w:sz w:val="20"/>
                <w:szCs w:val="20"/>
              </w:rPr>
            </w:pPr>
          </w:p>
          <w:p w14:paraId="4F9C0A72" w14:textId="77777777" w:rsidR="00B24E0A" w:rsidRPr="007424E0" w:rsidRDefault="00B24E0A" w:rsidP="000F6D48">
            <w:pPr>
              <w:ind w:left="720"/>
              <w:rPr>
                <w:rFonts w:ascii="Times New Roman" w:eastAsia="Times New Roman" w:hAnsi="Times New Roman" w:cs="Times New Roman"/>
                <w:i/>
                <w:iCs/>
                <w:sz w:val="20"/>
                <w:szCs w:val="20"/>
              </w:rPr>
            </w:pPr>
            <w:r w:rsidRPr="007424E0">
              <w:rPr>
                <w:rFonts w:ascii="Times New Roman" w:eastAsia="Times New Roman" w:hAnsi="Times New Roman" w:cs="Times New Roman"/>
                <w:i/>
                <w:iCs/>
                <w:sz w:val="20"/>
                <w:szCs w:val="20"/>
              </w:rPr>
              <w:t xml:space="preserve">"The Relocation Summary Form, for use only by applicants for Federal funding that have existing occupied residential buildings or businesses on the proposed site, is included in the excel workbook to be attached to your application on </w:t>
            </w:r>
            <w:proofErr w:type="spellStart"/>
            <w:r w:rsidRPr="007424E0">
              <w:rPr>
                <w:rFonts w:ascii="Times New Roman" w:eastAsia="Times New Roman" w:hAnsi="Times New Roman" w:cs="Times New Roman"/>
                <w:i/>
                <w:iCs/>
                <w:sz w:val="20"/>
                <w:szCs w:val="20"/>
              </w:rPr>
              <w:t>Emphasys</w:t>
            </w:r>
            <w:proofErr w:type="spellEnd"/>
            <w:r w:rsidRPr="007424E0">
              <w:rPr>
                <w:rFonts w:ascii="Times New Roman" w:eastAsia="Times New Roman" w:hAnsi="Times New Roman" w:cs="Times New Roman"/>
                <w:i/>
                <w:iCs/>
                <w:sz w:val="20"/>
                <w:szCs w:val="20"/>
              </w:rPr>
              <w:t>."</w:t>
            </w:r>
          </w:p>
          <w:p w14:paraId="304997FF" w14:textId="77777777" w:rsidR="00B24E0A" w:rsidRPr="007424E0" w:rsidRDefault="00B24E0A" w:rsidP="000F6D48">
            <w:pPr>
              <w:rPr>
                <w:rFonts w:ascii="Times New Roman" w:eastAsia="Times New Roman" w:hAnsi="Times New Roman" w:cs="Times New Roman"/>
                <w:sz w:val="20"/>
                <w:szCs w:val="20"/>
              </w:rPr>
            </w:pPr>
          </w:p>
          <w:p w14:paraId="1258F0A6"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Can DCA confirm if it is necessary to complete this section if there is relocation involved, but there is no Federal funding involved (</w:t>
            </w:r>
            <w:proofErr w:type="spellStart"/>
            <w:r w:rsidRPr="007424E0">
              <w:rPr>
                <w:rFonts w:ascii="Times New Roman" w:eastAsia="Times New Roman" w:hAnsi="Times New Roman" w:cs="Times New Roman"/>
                <w:sz w:val="20"/>
                <w:szCs w:val="20"/>
              </w:rPr>
              <w:t>ie</w:t>
            </w:r>
            <w:proofErr w:type="spellEnd"/>
            <w:r w:rsidRPr="007424E0">
              <w:rPr>
                <w:rFonts w:ascii="Times New Roman" w:eastAsia="Times New Roman" w:hAnsi="Times New Roman" w:cs="Times New Roman"/>
                <w:sz w:val="20"/>
                <w:szCs w:val="20"/>
              </w:rPr>
              <w:t xml:space="preserve"> HOME, CDBG, etc.)?</w:t>
            </w:r>
          </w:p>
          <w:p w14:paraId="7914D011" w14:textId="77777777" w:rsidR="00B24E0A" w:rsidRPr="007424E0" w:rsidRDefault="00B24E0A" w:rsidP="000F6D48">
            <w:pPr>
              <w:contextualSpacing/>
              <w:rPr>
                <w:rFonts w:ascii="Times New Roman" w:hAnsi="Times New Roman" w:cs="Times New Roman"/>
                <w:sz w:val="20"/>
                <w:szCs w:val="20"/>
              </w:rPr>
            </w:pPr>
          </w:p>
          <w:p w14:paraId="2E7F0C1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5B00C31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The 2022 QAP states under </w:t>
            </w:r>
            <w:r w:rsidRPr="007424E0">
              <w:rPr>
                <w:rFonts w:ascii="Times New Roman" w:hAnsi="Times New Roman" w:cs="Times New Roman"/>
                <w:b/>
                <w:bCs/>
                <w:sz w:val="20"/>
                <w:szCs w:val="20"/>
              </w:rPr>
              <w:t>(Threshold Criteria) Occupied Developments</w:t>
            </w:r>
            <w:r w:rsidRPr="007424E0">
              <w:rPr>
                <w:rFonts w:ascii="Times New Roman" w:hAnsi="Times New Roman" w:cs="Times New Roman"/>
                <w:sz w:val="20"/>
                <w:szCs w:val="20"/>
              </w:rPr>
              <w:t>, “</w:t>
            </w:r>
            <w:r w:rsidRPr="007424E0">
              <w:rPr>
                <w:rFonts w:ascii="Times New Roman" w:hAnsi="Times New Roman" w:cs="Times New Roman"/>
                <w:i/>
                <w:iCs/>
                <w:sz w:val="20"/>
                <w:szCs w:val="20"/>
              </w:rPr>
              <w:t>All proposed developments with residents and non-residential tenants on-site since the earlier of pre-application, three months prior to Application Submission, and application for federal funds (if applicable) must meet the application and documentation submission requirements below and in the 2022 DCA Relocation Manual.</w:t>
            </w:r>
            <w:r w:rsidRPr="007424E0">
              <w:rPr>
                <w:rFonts w:ascii="Times New Roman" w:hAnsi="Times New Roman" w:cs="Times New Roman"/>
                <w:sz w:val="20"/>
                <w:szCs w:val="20"/>
              </w:rPr>
              <w:t>”</w:t>
            </w:r>
          </w:p>
          <w:p w14:paraId="474A6F80" w14:textId="77777777" w:rsidR="00B24E0A" w:rsidRPr="007424E0" w:rsidRDefault="00B24E0A" w:rsidP="000F6D48">
            <w:pPr>
              <w:rPr>
                <w:rFonts w:ascii="Times New Roman" w:hAnsi="Times New Roman" w:cs="Times New Roman"/>
                <w:sz w:val="20"/>
                <w:szCs w:val="20"/>
              </w:rPr>
            </w:pPr>
          </w:p>
          <w:p w14:paraId="0DA4694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For purposes of the 2022 Pre-Application process, all developments with structures onsite occupied by residents and non-residential tenants must complete the Relocation Summary tab, regardless of whether the application is for Housing Tax Credits only or also includes federal funding as a source.   </w:t>
            </w:r>
          </w:p>
          <w:p w14:paraId="77679238" w14:textId="77777777" w:rsidR="00B24E0A" w:rsidRPr="007424E0" w:rsidRDefault="00B24E0A" w:rsidP="000F6D48">
            <w:pPr>
              <w:rPr>
                <w:rFonts w:ascii="Times New Roman" w:hAnsi="Times New Roman" w:cs="Times New Roman"/>
                <w:sz w:val="20"/>
                <w:szCs w:val="20"/>
              </w:rPr>
            </w:pPr>
          </w:p>
          <w:p w14:paraId="5B616ED8" w14:textId="77777777" w:rsidR="00B24E0A" w:rsidRPr="007424E0" w:rsidRDefault="00B24E0A" w:rsidP="000F6D48">
            <w:pPr>
              <w:contextualSpacing/>
              <w:rPr>
                <w:rFonts w:ascii="Times New Roman" w:hAnsi="Times New Roman" w:cs="Times New Roman"/>
                <w:b/>
                <w:bCs/>
                <w:sz w:val="20"/>
                <w:szCs w:val="20"/>
              </w:rPr>
            </w:pPr>
            <w:r w:rsidRPr="007424E0">
              <w:rPr>
                <w:rFonts w:ascii="Times New Roman" w:eastAsia="Times New Roman" w:hAnsi="Times New Roman" w:cs="Times New Roman"/>
                <w:sz w:val="20"/>
                <w:szCs w:val="20"/>
              </w:rPr>
              <w:t xml:space="preserve">An updated version of the </w:t>
            </w:r>
            <w:r w:rsidRPr="007424E0">
              <w:rPr>
                <w:rFonts w:ascii="Times New Roman" w:eastAsia="Times New Roman" w:hAnsi="Times New Roman" w:cs="Times New Roman"/>
                <w:i/>
                <w:iCs/>
                <w:sz w:val="20"/>
                <w:szCs w:val="20"/>
              </w:rPr>
              <w:t xml:space="preserve">2022 Supplemental Pre-Application </w:t>
            </w:r>
            <w:r w:rsidRPr="007424E0">
              <w:rPr>
                <w:rFonts w:ascii="Times New Roman" w:eastAsia="Times New Roman" w:hAnsi="Times New Roman" w:cs="Times New Roman"/>
                <w:sz w:val="20"/>
                <w:szCs w:val="20"/>
              </w:rPr>
              <w:t>form has been posted to the DCA website (</w:t>
            </w:r>
            <w:hyperlink r:id="rId59" w:history="1">
              <w:r w:rsidRPr="007424E0">
                <w:rPr>
                  <w:rStyle w:val="Hyperlink"/>
                  <w:rFonts w:ascii="Times New Roman" w:eastAsia="Times New Roman" w:hAnsi="Times New Roman" w:cs="Times New Roman"/>
                  <w:color w:val="auto"/>
                  <w:sz w:val="20"/>
                  <w:szCs w:val="20"/>
                </w:rPr>
                <w:t>click here</w:t>
              </w:r>
            </w:hyperlink>
            <w:r w:rsidRPr="007424E0">
              <w:rPr>
                <w:rFonts w:ascii="Times New Roman" w:eastAsia="Times New Roman" w:hAnsi="Times New Roman" w:cs="Times New Roman"/>
                <w:sz w:val="20"/>
                <w:szCs w:val="20"/>
              </w:rPr>
              <w:t>).</w:t>
            </w:r>
          </w:p>
        </w:tc>
      </w:tr>
      <w:tr w:rsidR="00B24E0A" w:rsidRPr="007424E0" w14:paraId="6DDF8F65" w14:textId="77777777" w:rsidTr="64301FE8">
        <w:trPr>
          <w:jc w:val="center"/>
        </w:trPr>
        <w:tc>
          <w:tcPr>
            <w:tcW w:w="1697" w:type="dxa"/>
            <w:shd w:val="clear" w:color="auto" w:fill="auto"/>
            <w:tcMar>
              <w:top w:w="72" w:type="dxa"/>
              <w:left w:w="115" w:type="dxa"/>
              <w:bottom w:w="72" w:type="dxa"/>
              <w:right w:w="115" w:type="dxa"/>
            </w:tcMar>
            <w:vAlign w:val="center"/>
          </w:tcPr>
          <w:p w14:paraId="73823C3A"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664D6F0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43A990C0"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B22DF7A"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63E44155"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Q1025_01</w:t>
            </w:r>
          </w:p>
          <w:p w14:paraId="46AB36F1"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Regarding DCA Underwriting Policies: why can 100% Project-Based Section 8 projects not be underwritten at a 1.15 if lender and investor approves?</w:t>
            </w:r>
          </w:p>
          <w:p w14:paraId="316785F5" w14:textId="77777777" w:rsidR="00B24E0A" w:rsidRPr="007424E0" w:rsidRDefault="00B24E0A" w:rsidP="000F6D48">
            <w:pPr>
              <w:contextualSpacing/>
              <w:rPr>
                <w:rFonts w:ascii="Times New Roman" w:hAnsi="Times New Roman" w:cs="Times New Roman"/>
                <w:sz w:val="20"/>
                <w:szCs w:val="20"/>
              </w:rPr>
            </w:pPr>
          </w:p>
          <w:p w14:paraId="6B8AC9A4"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466676EA" w14:textId="77777777" w:rsidR="00B24E0A" w:rsidRPr="007424E0" w:rsidRDefault="00B24E0A"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 xml:space="preserve">The above question is referencing the following requirement in </w:t>
            </w:r>
            <w:r w:rsidRPr="007424E0">
              <w:rPr>
                <w:rFonts w:ascii="Times New Roman" w:hAnsi="Times New Roman" w:cs="Times New Roman"/>
                <w:b/>
                <w:bCs/>
                <w:sz w:val="20"/>
                <w:szCs w:val="20"/>
              </w:rPr>
              <w:t xml:space="preserve">(Threshold Criteria) DCA Underwriting Policies, 7. Debt Coverage Ratio (DCR): </w:t>
            </w:r>
            <w:r w:rsidRPr="007424E0">
              <w:rPr>
                <w:rFonts w:ascii="Times New Roman" w:hAnsi="Times New Roman" w:cs="Times New Roman"/>
                <w:sz w:val="20"/>
                <w:szCs w:val="20"/>
              </w:rPr>
              <w:t>“As part of its financial feasibility analysis, DCA will require that developments with debt meet, at a minimum, a 1.20 debt coverage ratio for each year of the Compliance Period for new construction and 1.25 for developments involving rehabilitation”</w:t>
            </w:r>
          </w:p>
          <w:p w14:paraId="63ECBCDB" w14:textId="77777777" w:rsidR="00B24E0A" w:rsidRPr="007424E0" w:rsidRDefault="00B24E0A" w:rsidP="000F6D48">
            <w:pPr>
              <w:contextualSpacing/>
              <w:rPr>
                <w:rFonts w:ascii="Times New Roman" w:hAnsi="Times New Roman" w:cs="Times New Roman"/>
                <w:sz w:val="20"/>
                <w:szCs w:val="20"/>
              </w:rPr>
            </w:pPr>
          </w:p>
          <w:p w14:paraId="0C161333"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DCA does not adjust the underwriting standards outlined in the QAP based on lender or investor requirements, except in certain circumstances outlined in QAP. For example, from the same above-referenced section: “</w:t>
            </w:r>
            <w:r w:rsidRPr="007424E0">
              <w:rPr>
                <w:rFonts w:ascii="Times New Roman" w:eastAsia="Calibri" w:hAnsi="Times New Roman" w:cs="Times New Roman"/>
                <w:i/>
                <w:iCs/>
                <w:sz w:val="20"/>
                <w:szCs w:val="20"/>
              </w:rPr>
              <w:t>DCA may waive its minimum debt coverage ratio for USDA 515 developments that clearly demonstrate feasibility, or reduce it to match other government program funding requirements provided that confirmation from the agency of the required DCR is included in their funding commitment.</w:t>
            </w:r>
            <w:r w:rsidRPr="007424E0">
              <w:rPr>
                <w:rFonts w:ascii="Times New Roman" w:eastAsia="Calibri" w:hAnsi="Times New Roman" w:cs="Times New Roman"/>
                <w:sz w:val="20"/>
                <w:szCs w:val="20"/>
              </w:rPr>
              <w:t>”</w:t>
            </w:r>
            <w:r w:rsidRPr="007424E0">
              <w:rPr>
                <w:rFonts w:ascii="Times New Roman" w:hAnsi="Times New Roman" w:cs="Times New Roman"/>
                <w:sz w:val="20"/>
                <w:szCs w:val="20"/>
              </w:rPr>
              <w:br/>
            </w:r>
          </w:p>
          <w:p w14:paraId="45EB45B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Please note that requirements differ for applications without debt (from the same section as above): </w:t>
            </w:r>
            <w:r w:rsidRPr="007424E0">
              <w:rPr>
                <w:rFonts w:ascii="Times New Roman" w:eastAsia="Calibri" w:hAnsi="Times New Roman" w:cs="Times New Roman"/>
                <w:i/>
                <w:iCs/>
                <w:sz w:val="20"/>
                <w:szCs w:val="20"/>
              </w:rPr>
              <w:t xml:space="preserve">“Deals with no hard debt are allowed, but will be subject to additional scrutiny from DCA. Developments submitted with no hard debt will not have a DCR but will be required to undergo a subsidy layering review. This will be determined by a ratio of Effective Gross Income to Total Annual Expenses (including reserve for replacement). A ratio of 1.10 for new construction and 1.15 for developments involving rehabilitation is the minimum required to be considered feasible by DCA in Years 1-15.” </w:t>
            </w:r>
          </w:p>
        </w:tc>
      </w:tr>
      <w:tr w:rsidR="00B24E0A" w:rsidRPr="007424E0" w14:paraId="52783E0D" w14:textId="77777777" w:rsidTr="64301FE8">
        <w:trPr>
          <w:jc w:val="center"/>
        </w:trPr>
        <w:tc>
          <w:tcPr>
            <w:tcW w:w="1697" w:type="dxa"/>
            <w:shd w:val="clear" w:color="auto" w:fill="auto"/>
            <w:tcMar>
              <w:top w:w="72" w:type="dxa"/>
              <w:left w:w="115" w:type="dxa"/>
              <w:bottom w:w="72" w:type="dxa"/>
              <w:right w:w="115" w:type="dxa"/>
            </w:tcMar>
            <w:vAlign w:val="center"/>
          </w:tcPr>
          <w:p w14:paraId="348CFBD2"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1FA570F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28EABC99"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051F466"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7319DD72"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Q1025_02 </w:t>
            </w:r>
          </w:p>
          <w:p w14:paraId="425149F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Regarding DCA Underwriting Policies: why are 100% Project-Based Section 8 projects subjected to a 7% vacancy requirement when given proof that they could be at a 5% vacancy? </w:t>
            </w:r>
          </w:p>
          <w:p w14:paraId="438E48D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48D32F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77E9769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DCA has a Pre-Application process in which applicants can submit a waiver of underwriting policies (“0104 Underwriting Waiver” in the </w:t>
            </w:r>
            <w:proofErr w:type="spellStart"/>
            <w:r w:rsidRPr="007424E0">
              <w:rPr>
                <w:rFonts w:ascii="Times New Roman" w:eastAsia="Times New Roman" w:hAnsi="Times New Roman" w:cs="Times New Roman"/>
                <w:sz w:val="20"/>
                <w:szCs w:val="20"/>
              </w:rPr>
              <w:t>Emphasys</w:t>
            </w:r>
            <w:proofErr w:type="spellEnd"/>
            <w:r w:rsidRPr="007424E0">
              <w:rPr>
                <w:rFonts w:ascii="Times New Roman" w:eastAsia="Times New Roman" w:hAnsi="Times New Roman" w:cs="Times New Roman"/>
                <w:sz w:val="20"/>
                <w:szCs w:val="20"/>
              </w:rPr>
              <w:t xml:space="preserve"> Pre-Application).  The Pre-Application should include documentation to substantiate the request.</w:t>
            </w:r>
          </w:p>
        </w:tc>
      </w:tr>
      <w:tr w:rsidR="00B24E0A" w:rsidRPr="007424E0" w14:paraId="2FC4D51E" w14:textId="77777777" w:rsidTr="64301FE8">
        <w:trPr>
          <w:jc w:val="center"/>
        </w:trPr>
        <w:tc>
          <w:tcPr>
            <w:tcW w:w="1697" w:type="dxa"/>
            <w:shd w:val="clear" w:color="auto" w:fill="auto"/>
            <w:tcMar>
              <w:top w:w="72" w:type="dxa"/>
              <w:left w:w="115" w:type="dxa"/>
              <w:bottom w:w="72" w:type="dxa"/>
              <w:right w:w="115" w:type="dxa"/>
            </w:tcMar>
            <w:vAlign w:val="center"/>
          </w:tcPr>
          <w:p w14:paraId="69F14A78"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68C2BDF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2.28</w:t>
            </w:r>
          </w:p>
          <w:p w14:paraId="11FE03B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58E2828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DCA Underwriting Policies</w:t>
            </w:r>
          </w:p>
        </w:tc>
        <w:tc>
          <w:tcPr>
            <w:tcW w:w="9585" w:type="dxa"/>
            <w:shd w:val="clear" w:color="auto" w:fill="auto"/>
            <w:tcMar>
              <w:top w:w="72" w:type="dxa"/>
              <w:left w:w="115" w:type="dxa"/>
              <w:bottom w:w="72" w:type="dxa"/>
              <w:right w:w="115" w:type="dxa"/>
            </w:tcMar>
            <w:vAlign w:val="center"/>
          </w:tcPr>
          <w:p w14:paraId="04B5CA6A"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Q22_0304_06</w:t>
            </w:r>
          </w:p>
          <w:p w14:paraId="4D22EA6C"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 Threshold - Underwriting: 11. Distribution across Unit / Bedroom Sizes:</w:t>
            </w:r>
          </w:p>
          <w:p w14:paraId="4F8807A0"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o "a) Rent. Projects with a multi-tiered rent structure must distribute the</w:t>
            </w:r>
          </w:p>
          <w:p w14:paraId="30996F8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rents across unit sizes, unit types and buildings. These units need not be</w:t>
            </w:r>
          </w:p>
          <w:p w14:paraId="09583ED3"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fixed, but may float in the same way high HOME rent and low HOME rent</w:t>
            </w:r>
          </w:p>
          <w:p w14:paraId="196EE1A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units may float within a project so long as the units and interior amenities</w:t>
            </w:r>
          </w:p>
          <w:p w14:paraId="4DD34B3C"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are comparable."</w:t>
            </w:r>
          </w:p>
          <w:p w14:paraId="3DFA23E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o Can DCA provide unit/rent mix examples illustrating what might be</w:t>
            </w:r>
          </w:p>
          <w:p w14:paraId="404005FF"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considered acceptable and unacceptable as it relates to "Projects with a</w:t>
            </w:r>
          </w:p>
          <w:p w14:paraId="7332E080"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multi-tiered rent structure must distribute the rents across unit sizes, unit</w:t>
            </w:r>
          </w:p>
          <w:p w14:paraId="01DB78AD"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types and buildings."?</w:t>
            </w:r>
          </w:p>
          <w:p w14:paraId="5BB14728"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o If a unit/rent mix is submitted within the Rent Schedule &amp; Summary tab of</w:t>
            </w:r>
          </w:p>
          <w:p w14:paraId="3B03C038"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the Pre-Application Submission Form, will DCA provide a response to the</w:t>
            </w:r>
          </w:p>
          <w:p w14:paraId="19F20A66"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Pre-Application indicating if the distribution is acceptable or not. If</w:t>
            </w:r>
          </w:p>
          <w:p w14:paraId="7585ADAA"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determined unacceptable, I assume the applicant will have the opportunity</w:t>
            </w:r>
          </w:p>
          <w:p w14:paraId="24643EF5"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sz w:val="20"/>
                <w:szCs w:val="20"/>
              </w:rPr>
              <w:t>to adjust the mix for what is submitted in the full application, is that correct?</w:t>
            </w:r>
          </w:p>
          <w:p w14:paraId="34CFFB92" w14:textId="77777777" w:rsidR="00B24E0A" w:rsidRPr="007424E0" w:rsidRDefault="00B24E0A" w:rsidP="000F6D48">
            <w:pPr>
              <w:contextualSpacing/>
              <w:rPr>
                <w:rFonts w:ascii="Times New Roman" w:hAnsi="Times New Roman" w:cs="Times New Roman"/>
                <w:sz w:val="20"/>
                <w:szCs w:val="20"/>
              </w:rPr>
            </w:pPr>
          </w:p>
          <w:p w14:paraId="29F2DD38"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651D644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Regarding the request for an example and confirmation of whether a specific mix conforms with the policy: please note that the Revenue and Expenses tab of the Core Application has formulas built in to determine the equal distribution among the unit and bedroom sizes automatically. Per </w:t>
            </w:r>
            <w:r w:rsidRPr="007424E0">
              <w:rPr>
                <w:rFonts w:ascii="Times New Roman" w:hAnsi="Times New Roman" w:cs="Times New Roman"/>
                <w:b/>
                <w:bCs/>
                <w:sz w:val="20"/>
                <w:szCs w:val="20"/>
              </w:rPr>
              <w:t>Q0221_02</w:t>
            </w:r>
            <w:r w:rsidRPr="007424E0">
              <w:rPr>
                <w:rFonts w:ascii="Times New Roman" w:hAnsi="Times New Roman" w:cs="Times New Roman"/>
                <w:sz w:val="20"/>
                <w:szCs w:val="20"/>
              </w:rPr>
              <w:t xml:space="preserve"> published on 2/25/22, where helpful the most up-to-date Core Application can be used for purposes of a Pre-Application waiver request (see referenced Q&amp;A for direct link). </w:t>
            </w:r>
          </w:p>
          <w:p w14:paraId="339C6403" w14:textId="77777777" w:rsidR="00B24E0A" w:rsidRPr="007424E0" w:rsidRDefault="00B24E0A" w:rsidP="000F6D48">
            <w:pPr>
              <w:rPr>
                <w:rFonts w:ascii="Times New Roman" w:hAnsi="Times New Roman" w:cs="Times New Roman"/>
                <w:sz w:val="20"/>
                <w:szCs w:val="20"/>
              </w:rPr>
            </w:pPr>
          </w:p>
          <w:p w14:paraId="11B5A2B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Equal distribution means the difference between the proposed and exact units is within 2 units. See DCA’s Average Income Policy for more information (</w:t>
            </w:r>
            <w:hyperlink r:id="rId60" w:history="1">
              <w:r w:rsidRPr="007424E0">
                <w:rPr>
                  <w:rStyle w:val="Hyperlink"/>
                  <w:rFonts w:ascii="Times New Roman" w:hAnsi="Times New Roman" w:cs="Times New Roman"/>
                  <w:color w:val="auto"/>
                  <w:sz w:val="20"/>
                  <w:szCs w:val="20"/>
                </w:rPr>
                <w:t>click here</w:t>
              </w:r>
            </w:hyperlink>
            <w:r w:rsidRPr="007424E0">
              <w:rPr>
                <w:rFonts w:ascii="Times New Roman" w:hAnsi="Times New Roman" w:cs="Times New Roman"/>
                <w:sz w:val="20"/>
                <w:szCs w:val="20"/>
              </w:rPr>
              <w:t xml:space="preserve"> for DCA’s Compliance Monitoring homepage, visit the “Tax Credit” page, download “</w:t>
            </w:r>
            <w:r w:rsidRPr="007424E0">
              <w:rPr>
                <w:rFonts w:ascii="Times New Roman" w:hAnsi="Times New Roman" w:cs="Times New Roman"/>
                <w:b/>
                <w:bCs/>
                <w:sz w:val="20"/>
                <w:szCs w:val="20"/>
              </w:rPr>
              <w:t>DCA's Average Income Policy (updated 2021)</w:t>
            </w:r>
            <w:r w:rsidRPr="007424E0">
              <w:rPr>
                <w:rFonts w:ascii="Times New Roman" w:hAnsi="Times New Roman" w:cs="Times New Roman"/>
                <w:sz w:val="20"/>
                <w:szCs w:val="20"/>
              </w:rPr>
              <w:t xml:space="preserve">, and view subsection </w:t>
            </w:r>
            <w:r w:rsidRPr="007424E0">
              <w:rPr>
                <w:rFonts w:ascii="Times New Roman" w:hAnsi="Times New Roman" w:cs="Times New Roman"/>
                <w:b/>
                <w:bCs/>
                <w:sz w:val="20"/>
                <w:szCs w:val="20"/>
              </w:rPr>
              <w:t>B. DCA adopted requirements and interpretations</w:t>
            </w:r>
            <w:r w:rsidRPr="007424E0">
              <w:rPr>
                <w:rFonts w:ascii="Times New Roman" w:hAnsi="Times New Roman" w:cs="Times New Roman"/>
                <w:sz w:val="20"/>
                <w:szCs w:val="20"/>
              </w:rPr>
              <w:t>”).</w:t>
            </w:r>
          </w:p>
          <w:p w14:paraId="00309908" w14:textId="77777777" w:rsidR="00B24E0A" w:rsidRPr="007424E0" w:rsidRDefault="00B24E0A" w:rsidP="000F6D48">
            <w:pPr>
              <w:rPr>
                <w:rFonts w:ascii="Times New Roman" w:hAnsi="Times New Roman" w:cs="Times New Roman"/>
                <w:sz w:val="20"/>
                <w:szCs w:val="20"/>
              </w:rPr>
            </w:pPr>
          </w:p>
          <w:p w14:paraId="636B8B1D" w14:textId="77777777" w:rsidR="00B24E0A" w:rsidRPr="007424E0" w:rsidRDefault="00B24E0A" w:rsidP="000F6D48">
            <w:pPr>
              <w:contextualSpacing/>
              <w:rPr>
                <w:rFonts w:ascii="Times New Roman" w:hAnsi="Times New Roman" w:cs="Times New Roman"/>
                <w:b/>
                <w:bCs/>
                <w:sz w:val="20"/>
                <w:szCs w:val="20"/>
              </w:rPr>
            </w:pPr>
            <w:r w:rsidRPr="007424E0">
              <w:rPr>
                <w:rFonts w:ascii="Times New Roman" w:hAnsi="Times New Roman" w:cs="Times New Roman"/>
                <w:sz w:val="20"/>
                <w:szCs w:val="20"/>
              </w:rPr>
              <w:t>DCA will accept pre-applications for waivers of this requirement.</w:t>
            </w:r>
          </w:p>
        </w:tc>
      </w:tr>
      <w:tr w:rsidR="00B24E0A" w:rsidRPr="007424E0" w14:paraId="6C620991" w14:textId="77777777" w:rsidTr="64301FE8">
        <w:trPr>
          <w:jc w:val="center"/>
        </w:trPr>
        <w:tc>
          <w:tcPr>
            <w:tcW w:w="1697" w:type="dxa"/>
            <w:shd w:val="clear" w:color="auto" w:fill="auto"/>
            <w:tcMar>
              <w:top w:w="72" w:type="dxa"/>
              <w:left w:w="115" w:type="dxa"/>
              <w:bottom w:w="72" w:type="dxa"/>
              <w:right w:w="115" w:type="dxa"/>
            </w:tcMar>
            <w:vAlign w:val="center"/>
          </w:tcPr>
          <w:p w14:paraId="2D30B23F"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3/8/22</w:t>
            </w:r>
          </w:p>
        </w:tc>
        <w:tc>
          <w:tcPr>
            <w:tcW w:w="2663" w:type="dxa"/>
            <w:shd w:val="clear" w:color="auto" w:fill="auto"/>
            <w:tcMar>
              <w:top w:w="72" w:type="dxa"/>
              <w:left w:w="115" w:type="dxa"/>
              <w:bottom w:w="72" w:type="dxa"/>
              <w:right w:w="115" w:type="dxa"/>
            </w:tcMar>
            <w:vAlign w:val="center"/>
          </w:tcPr>
          <w:p w14:paraId="4032E644"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2.28 </w:t>
            </w:r>
          </w:p>
          <w:p w14:paraId="7BB88E3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7234300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DCA Underwriting Policies </w:t>
            </w:r>
          </w:p>
        </w:tc>
        <w:tc>
          <w:tcPr>
            <w:tcW w:w="9585" w:type="dxa"/>
            <w:shd w:val="clear" w:color="auto" w:fill="auto"/>
            <w:tcMar>
              <w:top w:w="72" w:type="dxa"/>
              <w:left w:w="115" w:type="dxa"/>
              <w:bottom w:w="72" w:type="dxa"/>
              <w:right w:w="115" w:type="dxa"/>
            </w:tcMar>
            <w:vAlign w:val="center"/>
          </w:tcPr>
          <w:p w14:paraId="5722DC19"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Q22_0304_03</w:t>
            </w:r>
          </w:p>
          <w:p w14:paraId="6F62926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In our underwriting model, we are meeting the DCR requirements, and a waiver is not required. If, prior to closing, USDA RD changes certain underwriting metrics during their underwriting approval process, it is understood that the owner would need to accept those changes. If any changes were required that make the project no longer meet the DCA DCR requirements, can you please confirm that DCA will work with the owner to accept these changes even though a waiver request is not submitted at pre-app?</w:t>
            </w:r>
          </w:p>
          <w:p w14:paraId="33978C21" w14:textId="77777777" w:rsidR="00B24E0A" w:rsidRPr="007424E0" w:rsidRDefault="00B24E0A" w:rsidP="000F6D48">
            <w:pPr>
              <w:contextualSpacing/>
              <w:rPr>
                <w:rFonts w:ascii="Times New Roman" w:hAnsi="Times New Roman" w:cs="Times New Roman"/>
                <w:sz w:val="20"/>
                <w:szCs w:val="20"/>
              </w:rPr>
            </w:pPr>
          </w:p>
          <w:p w14:paraId="57E79AA4"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6B245872" w14:textId="77777777" w:rsidR="00B24E0A" w:rsidRPr="007424E0" w:rsidRDefault="00B24E0A" w:rsidP="000F6D48">
            <w:pPr>
              <w:textAlignment w:val="baseline"/>
              <w:rPr>
                <w:rFonts w:ascii="Times New Roman" w:eastAsia="Times New Roman" w:hAnsi="Times New Roman" w:cs="Times New Roman"/>
                <w:b/>
                <w:bCs/>
                <w:sz w:val="20"/>
                <w:szCs w:val="20"/>
              </w:rPr>
            </w:pPr>
            <w:r w:rsidRPr="007424E0">
              <w:rPr>
                <w:rFonts w:ascii="Times New Roman" w:hAnsi="Times New Roman" w:cs="Times New Roman"/>
                <w:sz w:val="20"/>
                <w:szCs w:val="20"/>
              </w:rPr>
              <w:t>DCA requires a Pre-Application waiver request for any underwriting requirements that will not be met in the Full Application (May submission). DCA’s expectation is that all underwriting approved during the initial application review will be met at Final Allocation Application (8609 submission). DCA does not by default accept requirements imposed by third parties after a Full Application has been awarded. Absent seeing a specific waiver request with supporting documentation for the envisioned changes, DCA cannot provide further guidance.</w:t>
            </w:r>
          </w:p>
        </w:tc>
      </w:tr>
      <w:tr w:rsidR="00B24E0A" w:rsidRPr="007424E0" w14:paraId="075AE068" w14:textId="77777777" w:rsidTr="64301FE8">
        <w:trPr>
          <w:jc w:val="center"/>
        </w:trPr>
        <w:tc>
          <w:tcPr>
            <w:tcW w:w="1697" w:type="dxa"/>
            <w:shd w:val="clear" w:color="auto" w:fill="auto"/>
            <w:tcMar>
              <w:top w:w="72" w:type="dxa"/>
              <w:left w:w="115" w:type="dxa"/>
              <w:bottom w:w="72" w:type="dxa"/>
              <w:right w:w="115" w:type="dxa"/>
            </w:tcMar>
            <w:vAlign w:val="center"/>
          </w:tcPr>
          <w:p w14:paraId="0815FF22"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4EE96DC7"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2.20</w:t>
            </w:r>
          </w:p>
          <w:p w14:paraId="6C254E7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Threshold Criteria;</w:t>
            </w:r>
          </w:p>
          <w:p w14:paraId="6E414ADB"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59E1A2F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Q0223_04 </w:t>
            </w:r>
          </w:p>
          <w:p w14:paraId="40362E8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On the 2022 Capacity Form of the Pre-Application, it states to list projects that have not yet finished construction and/or begun lease up.  In the 2022 Performance Workbook instructions, it states that the Capacity Form should include projects the Certifying Entity is participating in but have not completed leasing.   </w:t>
            </w:r>
          </w:p>
          <w:p w14:paraId="79A4E05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453F52E1"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For a project that is currently leasing up, per the directions on the Capacity Form, the project would not be listed on this form because it has begun lease-up.  Per the Instructions, our project would be listed on this form because it has not completed leasing.  Could you please clarify which projects should go on the Capacity Form? </w:t>
            </w:r>
          </w:p>
          <w:p w14:paraId="295B638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205C0B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21BF907D"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instructions referenced are the following: </w:t>
            </w:r>
          </w:p>
          <w:p w14:paraId="4D16DAF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B24E0A" w:rsidRPr="007424E0" w14:paraId="60689F2E" w14:textId="77777777" w:rsidTr="005F175E">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0DBCBA5" w14:textId="77777777" w:rsidR="00B24E0A" w:rsidRPr="007424E0" w:rsidRDefault="00B24E0A"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0B20211B" w14:textId="77777777" w:rsidR="00B24E0A" w:rsidRPr="007424E0" w:rsidRDefault="00B24E0A"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Instructions for Capacity Form</w:t>
                  </w:r>
                  <w:r w:rsidRPr="007424E0">
                    <w:rPr>
                      <w:rFonts w:ascii="Times New Roman" w:eastAsia="Times New Roman" w:hAnsi="Times New Roman" w:cs="Times New Roman"/>
                      <w:sz w:val="20"/>
                      <w:szCs w:val="20"/>
                    </w:rPr>
                    <w:t> </w:t>
                  </w:r>
                </w:p>
              </w:tc>
              <w:tc>
                <w:tcPr>
                  <w:tcW w:w="4665" w:type="dxa"/>
                  <w:tcBorders>
                    <w:top w:val="single" w:sz="6" w:space="0" w:color="auto"/>
                    <w:left w:val="nil"/>
                    <w:bottom w:val="single" w:sz="6" w:space="0" w:color="auto"/>
                    <w:right w:val="single" w:sz="6" w:space="0" w:color="auto"/>
                  </w:tcBorders>
                  <w:shd w:val="clear" w:color="auto" w:fill="auto"/>
                  <w:hideMark/>
                </w:tcPr>
                <w:p w14:paraId="6AA2CA12" w14:textId="77777777" w:rsidR="00B24E0A" w:rsidRPr="007424E0" w:rsidRDefault="00B24E0A"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Performance Workbook:</w:t>
                  </w:r>
                  <w:r w:rsidRPr="007424E0">
                    <w:rPr>
                      <w:rFonts w:ascii="Times New Roman" w:eastAsia="Times New Roman" w:hAnsi="Times New Roman" w:cs="Times New Roman"/>
                      <w:sz w:val="20"/>
                      <w:szCs w:val="20"/>
                    </w:rPr>
                    <w:t> </w:t>
                  </w:r>
                </w:p>
                <w:p w14:paraId="022F01E7" w14:textId="77777777" w:rsidR="00B24E0A" w:rsidRPr="007424E0" w:rsidRDefault="00B24E0A" w:rsidP="000F6D48">
                  <w:pPr>
                    <w:keepNext/>
                    <w:keepLines/>
                    <w:spacing w:after="0" w:line="240" w:lineRule="auto"/>
                    <w:jc w:val="cente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Capacity Form</w:t>
                  </w:r>
                  <w:r w:rsidRPr="007424E0">
                    <w:rPr>
                      <w:rFonts w:ascii="Times New Roman" w:eastAsia="Times New Roman" w:hAnsi="Times New Roman" w:cs="Times New Roman"/>
                      <w:sz w:val="20"/>
                      <w:szCs w:val="20"/>
                    </w:rPr>
                    <w:t> </w:t>
                  </w:r>
                </w:p>
              </w:tc>
            </w:tr>
            <w:tr w:rsidR="00B24E0A" w:rsidRPr="007424E0" w14:paraId="5FA56AB5" w14:textId="77777777" w:rsidTr="005F175E">
              <w:tc>
                <w:tcPr>
                  <w:tcW w:w="4665" w:type="dxa"/>
                  <w:tcBorders>
                    <w:top w:val="nil"/>
                    <w:left w:val="single" w:sz="6" w:space="0" w:color="auto"/>
                    <w:bottom w:val="single" w:sz="6" w:space="0" w:color="auto"/>
                    <w:right w:val="single" w:sz="6" w:space="0" w:color="auto"/>
                  </w:tcBorders>
                  <w:shd w:val="clear" w:color="auto" w:fill="auto"/>
                  <w:hideMark/>
                </w:tcPr>
                <w:p w14:paraId="28AFA49F" w14:textId="77777777" w:rsidR="00B24E0A" w:rsidRPr="007424E0" w:rsidRDefault="00B24E0A"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“…list all affordable housing projects…[that] have not completed leasing.”  </w:t>
                  </w:r>
                </w:p>
              </w:tc>
              <w:tc>
                <w:tcPr>
                  <w:tcW w:w="4665" w:type="dxa"/>
                  <w:tcBorders>
                    <w:top w:val="nil"/>
                    <w:left w:val="nil"/>
                    <w:bottom w:val="single" w:sz="6" w:space="0" w:color="auto"/>
                    <w:right w:val="single" w:sz="6" w:space="0" w:color="auto"/>
                  </w:tcBorders>
                  <w:shd w:val="clear" w:color="auto" w:fill="auto"/>
                  <w:hideMark/>
                </w:tcPr>
                <w:p w14:paraId="754B2A5F" w14:textId="77777777" w:rsidR="00B24E0A" w:rsidRPr="007424E0" w:rsidRDefault="00B24E0A" w:rsidP="000F6D48">
                  <w:pPr>
                    <w:keepNext/>
                    <w:keepLines/>
                    <w:spacing w:after="0" w:line="240" w:lineRule="auto"/>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“The Certifying Entity must list each affordable housing property currently [under review]… and/or any other multifamily development…that has not yet finished construction and/or begun lease up…” </w:t>
                  </w:r>
                </w:p>
              </w:tc>
            </w:tr>
          </w:tbl>
          <w:p w14:paraId="67FB86AE"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76AB4C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For purposes of a property that has placed in service and begun lease-up, in the above question, the applicant is interpreting the instructions on the right to mean, “list each affordable housing property…that has not yet finished construction and/or </w:t>
            </w:r>
            <w:r w:rsidRPr="007424E0">
              <w:rPr>
                <w:rFonts w:ascii="Times New Roman" w:eastAsia="Times New Roman" w:hAnsi="Times New Roman" w:cs="Times New Roman"/>
                <w:b/>
                <w:bCs/>
                <w:sz w:val="20"/>
                <w:szCs w:val="20"/>
              </w:rPr>
              <w:t>[not yet]</w:t>
            </w:r>
            <w:r w:rsidRPr="007424E0">
              <w:rPr>
                <w:rFonts w:ascii="Times New Roman" w:eastAsia="Times New Roman" w:hAnsi="Times New Roman" w:cs="Times New Roman"/>
                <w:sz w:val="20"/>
                <w:szCs w:val="20"/>
              </w:rPr>
              <w:t xml:space="preserve"> begun lease up…” This is not a correct interpretation. In the form instructions, “not yet” only refers to “finished construction.” </w:t>
            </w:r>
          </w:p>
          <w:p w14:paraId="13A5070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D0BC39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property that has begun lease up but has not reached stabilized occupancy should be included on the Capacity Form. </w:t>
            </w:r>
          </w:p>
        </w:tc>
      </w:tr>
      <w:tr w:rsidR="00B24E0A" w:rsidRPr="007424E0" w14:paraId="5B23D9D0" w14:textId="77777777" w:rsidTr="64301FE8">
        <w:trPr>
          <w:jc w:val="center"/>
        </w:trPr>
        <w:tc>
          <w:tcPr>
            <w:tcW w:w="1697" w:type="dxa"/>
            <w:shd w:val="clear" w:color="auto" w:fill="auto"/>
            <w:tcMar>
              <w:top w:w="72" w:type="dxa"/>
              <w:left w:w="115" w:type="dxa"/>
              <w:bottom w:w="72" w:type="dxa"/>
              <w:right w:w="115" w:type="dxa"/>
            </w:tcMar>
            <w:vAlign w:val="center"/>
          </w:tcPr>
          <w:p w14:paraId="445FAEE0"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25C4B0F3"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05C5317F"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7908991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p w14:paraId="59E62441" w14:textId="77777777" w:rsidR="00B24E0A" w:rsidRPr="007424E0" w:rsidRDefault="00B24E0A" w:rsidP="000F6D48">
            <w:pPr>
              <w:contextualSpacing/>
              <w:rPr>
                <w:rFonts w:ascii="Times New Roman" w:hAnsi="Times New Roman" w:cs="Times New Roman"/>
                <w:noProof/>
                <w:sz w:val="20"/>
                <w:szCs w:val="20"/>
              </w:rPr>
            </w:pPr>
          </w:p>
        </w:tc>
        <w:tc>
          <w:tcPr>
            <w:tcW w:w="9585" w:type="dxa"/>
            <w:shd w:val="clear" w:color="auto" w:fill="auto"/>
            <w:tcMar>
              <w:top w:w="72" w:type="dxa"/>
              <w:left w:w="115" w:type="dxa"/>
              <w:bottom w:w="72" w:type="dxa"/>
              <w:right w:w="115" w:type="dxa"/>
            </w:tcMar>
            <w:vAlign w:val="center"/>
          </w:tcPr>
          <w:p w14:paraId="6D09B93D" w14:textId="77777777" w:rsidR="00B24E0A" w:rsidRPr="007424E0" w:rsidRDefault="00B24E0A"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Q22_0304_05 </w:t>
            </w:r>
          </w:p>
          <w:p w14:paraId="29143B05" w14:textId="77777777" w:rsidR="00B24E0A" w:rsidRPr="007424E0" w:rsidRDefault="00B24E0A"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We are planning an acquisition rehabilitation of a property, and the property </w:t>
            </w:r>
          </w:p>
          <w:p w14:paraId="0828EAFD" w14:textId="77777777" w:rsidR="00B24E0A" w:rsidRPr="007424E0" w:rsidRDefault="00B24E0A" w:rsidP="000F6D48">
            <w:pPr>
              <w:keepNext/>
              <w:keepLines/>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currently fully occupied. We are not planning on permanently displacing </w:t>
            </w:r>
          </w:p>
          <w:p w14:paraId="24CB99E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any residents. They all will be temporarily relocated for approximately </w:t>
            </w:r>
          </w:p>
          <w:p w14:paraId="31DC9414"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10-20 days while their unit is being rehabbed. Since they are leaving their </w:t>
            </w:r>
          </w:p>
          <w:p w14:paraId="76299695"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unit for a short period of time and being temporarily relocated, will you </w:t>
            </w:r>
          </w:p>
          <w:p w14:paraId="3482D1BC"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please confirm that this is not considered an "in-place" rehab and a waiver </w:t>
            </w:r>
          </w:p>
          <w:p w14:paraId="19B4D9AA"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is not required? </w:t>
            </w:r>
          </w:p>
          <w:p w14:paraId="4A0F035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3D00A788"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5D27CE57"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this is not considered an "in-place" rehab and a waiver is not required.  Please see Q0223_01 for additional discussion comparing “in-place rehab” circumstances and “temporary relocation.” </w:t>
            </w:r>
          </w:p>
        </w:tc>
      </w:tr>
      <w:tr w:rsidR="00B24E0A" w:rsidRPr="007424E0" w14:paraId="0D2539E7" w14:textId="77777777" w:rsidTr="64301FE8">
        <w:trPr>
          <w:jc w:val="center"/>
        </w:trPr>
        <w:tc>
          <w:tcPr>
            <w:tcW w:w="1697" w:type="dxa"/>
            <w:shd w:val="clear" w:color="auto" w:fill="auto"/>
            <w:tcMar>
              <w:top w:w="72" w:type="dxa"/>
              <w:left w:w="115" w:type="dxa"/>
              <w:bottom w:w="72" w:type="dxa"/>
              <w:right w:w="115" w:type="dxa"/>
            </w:tcMar>
            <w:vAlign w:val="center"/>
          </w:tcPr>
          <w:p w14:paraId="0967E439"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3/7/22</w:t>
            </w:r>
          </w:p>
        </w:tc>
        <w:tc>
          <w:tcPr>
            <w:tcW w:w="2663" w:type="dxa"/>
            <w:shd w:val="clear" w:color="auto" w:fill="auto"/>
            <w:tcMar>
              <w:top w:w="72" w:type="dxa"/>
              <w:left w:w="115" w:type="dxa"/>
              <w:bottom w:w="72" w:type="dxa"/>
              <w:right w:w="115" w:type="dxa"/>
            </w:tcMar>
            <w:vAlign w:val="center"/>
          </w:tcPr>
          <w:p w14:paraId="71AB022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2.25</w:t>
            </w:r>
          </w:p>
          <w:p w14:paraId="487E426C"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Threshold Criteria; </w:t>
            </w:r>
          </w:p>
          <w:p w14:paraId="2EC7022D"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Occupied Developments</w:t>
            </w:r>
          </w:p>
        </w:tc>
        <w:tc>
          <w:tcPr>
            <w:tcW w:w="9585" w:type="dxa"/>
            <w:shd w:val="clear" w:color="auto" w:fill="auto"/>
            <w:tcMar>
              <w:top w:w="72" w:type="dxa"/>
              <w:left w:w="115" w:type="dxa"/>
              <w:bottom w:w="72" w:type="dxa"/>
              <w:right w:w="115" w:type="dxa"/>
            </w:tcMar>
            <w:vAlign w:val="center"/>
          </w:tcPr>
          <w:p w14:paraId="23AB4321" w14:textId="77777777" w:rsidR="00B24E0A" w:rsidRPr="007424E0" w:rsidRDefault="00B24E0A" w:rsidP="000F6D48">
            <w:pPr>
              <w:keepNext/>
              <w:keepLines/>
              <w:contextualSpacing/>
              <w:rPr>
                <w:rFonts w:ascii="Times New Roman" w:hAnsi="Times New Roman" w:cs="Times New Roman"/>
                <w:sz w:val="20"/>
                <w:szCs w:val="20"/>
              </w:rPr>
            </w:pPr>
            <w:r w:rsidRPr="007424E0">
              <w:rPr>
                <w:rFonts w:ascii="Times New Roman" w:hAnsi="Times New Roman" w:cs="Times New Roman"/>
                <w:b/>
                <w:bCs/>
                <w:sz w:val="20"/>
                <w:szCs w:val="20"/>
              </w:rPr>
              <w:t>Question</w:t>
            </w:r>
            <w:r w:rsidRPr="007424E0">
              <w:rPr>
                <w:rFonts w:ascii="Times New Roman" w:hAnsi="Times New Roman" w:cs="Times New Roman"/>
                <w:sz w:val="20"/>
                <w:szCs w:val="20"/>
              </w:rPr>
              <w:t>: Q0223_01</w:t>
            </w:r>
          </w:p>
          <w:p w14:paraId="7C3B071A" w14:textId="77777777" w:rsidR="00B24E0A" w:rsidRPr="007424E0" w:rsidRDefault="00B24E0A" w:rsidP="000F6D48">
            <w:pPr>
              <w:keepNext/>
              <w:keepLines/>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In the multifamily LIHTC Relocation template, it says that if in-place rehab is expected you must submit a waiver at pre-application. On pg. 6, under the checklist, it says that certain tabs in the relocation workbook should be completed for the Permanent Displacement Waiver. Is this the same case for the in-place rehab waiver? Or is all that is required for in-place rehab, the waiver and the draft GIN?</w:t>
            </w:r>
          </w:p>
          <w:p w14:paraId="7F8C6089" w14:textId="77777777" w:rsidR="00B24E0A" w:rsidRPr="007424E0" w:rsidRDefault="00B24E0A" w:rsidP="000F6D48">
            <w:pPr>
              <w:rPr>
                <w:rFonts w:ascii="Times New Roman" w:eastAsia="Times New Roman" w:hAnsi="Times New Roman" w:cs="Times New Roman"/>
                <w:sz w:val="20"/>
                <w:szCs w:val="20"/>
              </w:rPr>
            </w:pPr>
          </w:p>
          <w:p w14:paraId="47605DC8" w14:textId="77777777" w:rsidR="00B24E0A" w:rsidRPr="007424E0" w:rsidRDefault="00B24E0A" w:rsidP="000F6D48">
            <w:pPr>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xml:space="preserve">The document I’m referencing is “Toolkit.Multifamily-LIHTCOnly.pdf” in the downloadable folder, “Relocation Documents for Multifamily - LIHTC Only”, on the DCA website (under 2022 Federal Compliance &amp; Relocation Manuals and Forms). </w:t>
            </w:r>
          </w:p>
          <w:p w14:paraId="56FA9ECB" w14:textId="77777777" w:rsidR="00B24E0A" w:rsidRPr="007424E0" w:rsidRDefault="00B24E0A" w:rsidP="000F6D48">
            <w:pPr>
              <w:contextualSpacing/>
              <w:rPr>
                <w:rFonts w:ascii="Times New Roman" w:hAnsi="Times New Roman" w:cs="Times New Roman"/>
                <w:sz w:val="20"/>
                <w:szCs w:val="20"/>
              </w:rPr>
            </w:pPr>
          </w:p>
          <w:p w14:paraId="67AAA31E" w14:textId="77777777" w:rsidR="00B24E0A" w:rsidRPr="007424E0" w:rsidRDefault="00B24E0A" w:rsidP="000F6D48">
            <w:pPr>
              <w:contextualSpacing/>
              <w:rPr>
                <w:rFonts w:ascii="Times New Roman" w:hAnsi="Times New Roman" w:cs="Times New Roman"/>
                <w:sz w:val="20"/>
                <w:szCs w:val="20"/>
              </w:rPr>
            </w:pPr>
            <w:r w:rsidRPr="007424E0">
              <w:rPr>
                <w:rFonts w:ascii="Times New Roman" w:hAnsi="Times New Roman" w:cs="Times New Roman"/>
                <w:b/>
                <w:bCs/>
                <w:sz w:val="20"/>
                <w:szCs w:val="20"/>
              </w:rPr>
              <w:t>Answer</w:t>
            </w:r>
            <w:r w:rsidRPr="007424E0">
              <w:rPr>
                <w:rFonts w:ascii="Times New Roman" w:hAnsi="Times New Roman" w:cs="Times New Roman"/>
                <w:sz w:val="20"/>
                <w:szCs w:val="20"/>
              </w:rPr>
              <w:t xml:space="preserve">: </w:t>
            </w:r>
          </w:p>
          <w:p w14:paraId="184099C8"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First, please note that in most cases, Applicants reaching out to DCA about in-place rehabilitation waivers are actually conflating the terms “temporary relocation” and “in-place rehabilitation.” Please see the below distinctions: </w:t>
            </w:r>
          </w:p>
          <w:p w14:paraId="01584602"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tbl>
            <w:tblPr>
              <w:tblStyle w:val="TableGrid"/>
              <w:tblW w:w="0" w:type="auto"/>
              <w:tblLook w:val="04A0" w:firstRow="1" w:lastRow="0" w:firstColumn="1" w:lastColumn="0" w:noHBand="0" w:noVBand="1"/>
            </w:tblPr>
            <w:tblGrid>
              <w:gridCol w:w="2244"/>
              <w:gridCol w:w="7101"/>
            </w:tblGrid>
            <w:tr w:rsidR="00B24E0A" w:rsidRPr="007424E0" w14:paraId="6D2F79F1" w14:textId="77777777" w:rsidTr="00DD3AA4">
              <w:tc>
                <w:tcPr>
                  <w:tcW w:w="2245" w:type="dxa"/>
                </w:tcPr>
                <w:p w14:paraId="32825E9E" w14:textId="77777777" w:rsidR="00B24E0A" w:rsidRPr="007424E0" w:rsidRDefault="00B24E0A"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Term</w:t>
                  </w:r>
                </w:p>
              </w:tc>
              <w:tc>
                <w:tcPr>
                  <w:tcW w:w="7105" w:type="dxa"/>
                </w:tcPr>
                <w:p w14:paraId="4E74AD76" w14:textId="77777777" w:rsidR="00B24E0A" w:rsidRPr="007424E0" w:rsidRDefault="00B24E0A" w:rsidP="000F6D48">
                  <w:pPr>
                    <w:keepNext/>
                    <w:keepLines/>
                    <w:jc w:val="center"/>
                    <w:rPr>
                      <w:rFonts w:ascii="Times New Roman" w:hAnsi="Times New Roman" w:cs="Times New Roman"/>
                      <w:b/>
                      <w:bCs/>
                      <w:sz w:val="20"/>
                      <w:szCs w:val="20"/>
                    </w:rPr>
                  </w:pPr>
                  <w:r w:rsidRPr="007424E0">
                    <w:rPr>
                      <w:rFonts w:ascii="Times New Roman" w:hAnsi="Times New Roman" w:cs="Times New Roman"/>
                      <w:b/>
                      <w:bCs/>
                      <w:sz w:val="20"/>
                      <w:szCs w:val="20"/>
                    </w:rPr>
                    <w:t>Definition</w:t>
                  </w:r>
                </w:p>
              </w:tc>
            </w:tr>
            <w:tr w:rsidR="00B24E0A" w:rsidRPr="007424E0" w14:paraId="22B11AAD" w14:textId="77777777" w:rsidTr="00DD3AA4">
              <w:tc>
                <w:tcPr>
                  <w:tcW w:w="2245" w:type="dxa"/>
                </w:tcPr>
                <w:p w14:paraId="516614A0" w14:textId="77777777" w:rsidR="00B24E0A" w:rsidRPr="007424E0" w:rsidRDefault="00B24E0A"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w:t>
                  </w:r>
                </w:p>
              </w:tc>
              <w:tc>
                <w:tcPr>
                  <w:tcW w:w="7105" w:type="dxa"/>
                </w:tcPr>
                <w:p w14:paraId="5432248D" w14:textId="77777777" w:rsidR="00B24E0A" w:rsidRPr="007424E0" w:rsidRDefault="00B24E0A" w:rsidP="000F6D48">
                  <w:pPr>
                    <w:keepNext/>
                    <w:keepLines/>
                    <w:rPr>
                      <w:rFonts w:ascii="Times New Roman" w:hAnsi="Times New Roman" w:cs="Times New Roman"/>
                      <w:sz w:val="20"/>
                      <w:szCs w:val="20"/>
                    </w:rPr>
                  </w:pPr>
                  <w:r w:rsidRPr="007424E0">
                    <w:rPr>
                      <w:rFonts w:ascii="Times New Roman" w:hAnsi="Times New Roman" w:cs="Times New Roman"/>
                      <w:sz w:val="20"/>
                      <w:szCs w:val="20"/>
                    </w:rPr>
                    <w:t>Temporary relocation refers to when an occupant must occupy temporary shelter during the rehabilitation process for at least one overnight.</w:t>
                  </w:r>
                </w:p>
              </w:tc>
            </w:tr>
            <w:tr w:rsidR="00B24E0A" w:rsidRPr="007424E0" w14:paraId="00CB9658" w14:textId="77777777" w:rsidTr="00DD3AA4">
              <w:tc>
                <w:tcPr>
                  <w:tcW w:w="2245" w:type="dxa"/>
                </w:tcPr>
                <w:p w14:paraId="7F59366F" w14:textId="77777777" w:rsidR="00B24E0A" w:rsidRPr="007424E0" w:rsidRDefault="00B24E0A" w:rsidP="000F6D48">
                  <w:pPr>
                    <w:keepNext/>
                    <w:keepLines/>
                    <w:rPr>
                      <w:rFonts w:ascii="Times New Roman" w:hAnsi="Times New Roman" w:cs="Times New Roman"/>
                      <w:sz w:val="20"/>
                      <w:szCs w:val="20"/>
                    </w:rPr>
                  </w:pPr>
                  <w:r w:rsidRPr="007424E0">
                    <w:rPr>
                      <w:rFonts w:ascii="Times New Roman" w:hAnsi="Times New Roman" w:cs="Times New Roman"/>
                      <w:sz w:val="20"/>
                      <w:szCs w:val="20"/>
                    </w:rPr>
                    <w:t>In-place rehabilitation</w:t>
                  </w:r>
                </w:p>
              </w:tc>
              <w:tc>
                <w:tcPr>
                  <w:tcW w:w="7105" w:type="dxa"/>
                </w:tcPr>
                <w:p w14:paraId="1C8A4D7E" w14:textId="77777777" w:rsidR="00B24E0A" w:rsidRPr="007424E0" w:rsidRDefault="00B24E0A" w:rsidP="000F6D48">
                  <w:pPr>
                    <w:keepNext/>
                    <w:keepLines/>
                    <w:rPr>
                      <w:rFonts w:ascii="Times New Roman" w:hAnsi="Times New Roman" w:cs="Times New Roman"/>
                      <w:sz w:val="20"/>
                      <w:szCs w:val="20"/>
                    </w:rPr>
                  </w:pPr>
                  <w:r w:rsidRPr="007424E0">
                    <w:rPr>
                      <w:rFonts w:ascii="Times New Roman" w:eastAsia="Calibri" w:hAnsi="Times New Roman" w:cs="Times New Roman"/>
                      <w:sz w:val="20"/>
                      <w:szCs w:val="20"/>
                    </w:rPr>
                    <w:t xml:space="preserve">In-place rehabilitation is when the resident is not relocated. The resident spends the day away (e.g., in a community center), then returns to their unit that night. This is only possible if all rehabilitation for the unit can be completed in one day. </w:t>
                  </w:r>
                </w:p>
              </w:tc>
            </w:tr>
          </w:tbl>
          <w:p w14:paraId="1D5370F5" w14:textId="77777777" w:rsidR="00B24E0A" w:rsidRPr="007424E0" w:rsidRDefault="00B24E0A" w:rsidP="000F6D48">
            <w:pPr>
              <w:rPr>
                <w:rFonts w:ascii="Times New Roman" w:hAnsi="Times New Roman" w:cs="Times New Roman"/>
                <w:sz w:val="20"/>
                <w:szCs w:val="20"/>
              </w:rPr>
            </w:pPr>
            <w:r w:rsidRPr="007424E0">
              <w:rPr>
                <w:rFonts w:ascii="Times New Roman" w:hAnsi="Times New Roman" w:cs="Times New Roman"/>
                <w:sz w:val="20"/>
                <w:szCs w:val="20"/>
              </w:rPr>
              <w:t xml:space="preserve"> </w:t>
            </w:r>
          </w:p>
          <w:p w14:paraId="25212952" w14:textId="77777777" w:rsidR="00B24E0A" w:rsidRPr="007424E0" w:rsidRDefault="00B24E0A"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D</w:t>
            </w:r>
            <w:r w:rsidRPr="007424E0">
              <w:rPr>
                <w:rFonts w:ascii="Times New Roman" w:hAnsi="Times New Roman" w:cs="Times New Roman"/>
                <w:sz w:val="20"/>
                <w:szCs w:val="20"/>
              </w:rPr>
              <w:t xml:space="preserve">ue to DCA’s construction requirements, true in-place rehabilitation rarely occurs. Further, </w:t>
            </w:r>
            <w:r w:rsidRPr="007424E0">
              <w:rPr>
                <w:rFonts w:ascii="Times New Roman" w:eastAsia="Calibri" w:hAnsi="Times New Roman" w:cs="Times New Roman"/>
                <w:sz w:val="20"/>
                <w:szCs w:val="20"/>
              </w:rPr>
              <w:t xml:space="preserve">in-place rehabilitation requires significant planning and logistics. This is why a relocation waiver is required for in-place rehabilitation. </w:t>
            </w:r>
          </w:p>
          <w:p w14:paraId="043AE441" w14:textId="77777777" w:rsidR="00B24E0A" w:rsidRPr="007424E0" w:rsidRDefault="00B24E0A" w:rsidP="000F6D48">
            <w:pPr>
              <w:contextualSpacing/>
              <w:jc w:val="both"/>
              <w:rPr>
                <w:rFonts w:ascii="Times New Roman" w:eastAsia="Calibri" w:hAnsi="Times New Roman" w:cs="Times New Roman"/>
                <w:sz w:val="20"/>
                <w:szCs w:val="20"/>
              </w:rPr>
            </w:pPr>
          </w:p>
          <w:p w14:paraId="625348F2" w14:textId="77777777" w:rsidR="00B24E0A" w:rsidRPr="007424E0" w:rsidRDefault="00B24E0A" w:rsidP="000F6D48">
            <w:pPr>
              <w:contextualSpacing/>
              <w:jc w:val="both"/>
              <w:rPr>
                <w:rFonts w:ascii="Times New Roman" w:eastAsia="Calibri" w:hAnsi="Times New Roman" w:cs="Times New Roman"/>
                <w:sz w:val="20"/>
                <w:szCs w:val="20"/>
              </w:rPr>
            </w:pPr>
            <w:r w:rsidRPr="007424E0">
              <w:rPr>
                <w:rFonts w:ascii="Times New Roman" w:eastAsia="Calibri" w:hAnsi="Times New Roman" w:cs="Times New Roman"/>
                <w:sz w:val="20"/>
                <w:szCs w:val="20"/>
              </w:rPr>
              <w:t>For applicants pursuing in-place rehabilitation as described above, the following waiver submission requirements apply (</w:t>
            </w:r>
            <w:hyperlink r:id="rId61"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xml:space="preserve"> to access all references Manuals and Forms):</w:t>
            </w:r>
          </w:p>
          <w:p w14:paraId="30225E5E" w14:textId="77777777" w:rsidR="00B24E0A" w:rsidRPr="007424E0" w:rsidRDefault="00B24E0A" w:rsidP="000F6D48">
            <w:pPr>
              <w:contextualSpacing/>
              <w:jc w:val="both"/>
              <w:rPr>
                <w:rFonts w:ascii="Times New Roman" w:eastAsia="Calibri" w:hAnsi="Times New Roman" w:cs="Times New Roman"/>
                <w:sz w:val="20"/>
                <w:szCs w:val="20"/>
              </w:rPr>
            </w:pPr>
          </w:p>
          <w:p w14:paraId="318B1444" w14:textId="77777777" w:rsidR="00B24E0A" w:rsidRPr="007424E0" w:rsidRDefault="00B24E0A"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Relocation and Displacement Plan including a Narrative describing how the In-Place Rehabilitation will occur and the provisions of what will be made available on a daily basis to residents who are waiting that day for their units to be rehabilitated. </w:t>
            </w:r>
          </w:p>
          <w:p w14:paraId="3F953F8F" w14:textId="77777777" w:rsidR="00B24E0A" w:rsidRPr="007424E0" w:rsidRDefault="00B24E0A"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Please see description of In-Place Waiver Relocation Requirements on pages 16 and 17 of the DCA Relocation Manual.</w:t>
            </w:r>
          </w:p>
          <w:p w14:paraId="5BB41608" w14:textId="77777777" w:rsidR="00B24E0A" w:rsidRPr="007424E0" w:rsidRDefault="00B24E0A"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For relevant requirements, 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62"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DCA Relocation Manual.pdf</w:t>
            </w:r>
            <w:r w:rsidRPr="007424E0">
              <w:rPr>
                <w:rFonts w:ascii="Times New Roman" w:eastAsia="Calibri" w:hAnsi="Times New Roman" w:cs="Times New Roman"/>
                <w:sz w:val="20"/>
                <w:szCs w:val="20"/>
              </w:rPr>
              <w:t>” -- see section “</w:t>
            </w:r>
            <w:r w:rsidRPr="007424E0">
              <w:rPr>
                <w:rFonts w:ascii="Times New Roman" w:eastAsia="Calibri" w:hAnsi="Times New Roman" w:cs="Times New Roman"/>
                <w:i/>
                <w:iCs/>
                <w:sz w:val="20"/>
                <w:szCs w:val="20"/>
              </w:rPr>
              <w:t>In-Place Rehab with Waiver</w:t>
            </w:r>
            <w:r w:rsidRPr="007424E0">
              <w:rPr>
                <w:rFonts w:ascii="Times New Roman" w:eastAsia="Calibri" w:hAnsi="Times New Roman" w:cs="Times New Roman"/>
                <w:sz w:val="20"/>
                <w:szCs w:val="20"/>
              </w:rPr>
              <w:t>.”</w:t>
            </w:r>
          </w:p>
          <w:p w14:paraId="26BE1CE1" w14:textId="77777777" w:rsidR="00B24E0A" w:rsidRPr="007424E0" w:rsidRDefault="00B24E0A"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Updated Relocation and Displacement Workbook: Submit the Workbook based on the checklist below: </w:t>
            </w:r>
          </w:p>
          <w:p w14:paraId="6666B3C2" w14:textId="77777777" w:rsidR="00B24E0A" w:rsidRPr="007424E0" w:rsidRDefault="00B24E0A"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Federal Compliance &amp; Relocation Manuals and Forms</w:t>
            </w:r>
            <w:r w:rsidRPr="007424E0">
              <w:rPr>
                <w:rFonts w:ascii="Times New Roman" w:eastAsia="Calibri" w:hAnsi="Times New Roman" w:cs="Times New Roman"/>
                <w:sz w:val="20"/>
                <w:szCs w:val="20"/>
              </w:rPr>
              <w:t>” on DCA website (</w:t>
            </w:r>
            <w:hyperlink r:id="rId63" w:history="1">
              <w:r w:rsidRPr="007424E0">
                <w:rPr>
                  <w:rStyle w:val="Hyperlink"/>
                  <w:rFonts w:ascii="Times New Roman" w:eastAsia="Calibri" w:hAnsi="Times New Roman" w:cs="Times New Roman"/>
                  <w:color w:val="auto"/>
                  <w:sz w:val="20"/>
                  <w:szCs w:val="20"/>
                </w:rPr>
                <w:t>click here</w:t>
              </w:r>
            </w:hyperlink>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Relocation Documents for Multifamily - LIHTC Only.zip</w:t>
            </w:r>
            <w:r w:rsidRPr="007424E0">
              <w:rPr>
                <w:rFonts w:ascii="Times New Roman" w:eastAsia="Calibri" w:hAnsi="Times New Roman" w:cs="Times New Roman"/>
                <w:sz w:val="20"/>
                <w:szCs w:val="20"/>
              </w:rPr>
              <w:t>” -- “</w:t>
            </w:r>
            <w:r w:rsidRPr="007424E0">
              <w:rPr>
                <w:rFonts w:ascii="Times New Roman" w:eastAsia="Calibri" w:hAnsi="Times New Roman" w:cs="Times New Roman"/>
                <w:i/>
                <w:iCs/>
                <w:sz w:val="20"/>
                <w:szCs w:val="20"/>
              </w:rPr>
              <w:t xml:space="preserve">Toolkit.Multifamily-LIHTCOnly.pdf” -- </w:t>
            </w:r>
            <w:r w:rsidRPr="007424E0">
              <w:rPr>
                <w:rFonts w:ascii="Times New Roman" w:eastAsia="Calibri" w:hAnsi="Times New Roman" w:cs="Times New Roman"/>
                <w:sz w:val="20"/>
                <w:szCs w:val="20"/>
              </w:rPr>
              <w:t>see</w:t>
            </w:r>
            <w:r w:rsidRPr="007424E0">
              <w:rPr>
                <w:rFonts w:ascii="Times New Roman" w:eastAsia="Calibri" w:hAnsi="Times New Roman" w:cs="Times New Roman"/>
                <w:i/>
                <w:iCs/>
                <w:sz w:val="20"/>
                <w:szCs w:val="20"/>
              </w:rPr>
              <w:t xml:space="preserve"> </w:t>
            </w:r>
            <w:r w:rsidRPr="007424E0">
              <w:rPr>
                <w:rFonts w:ascii="Times New Roman" w:eastAsia="Calibri" w:hAnsi="Times New Roman" w:cs="Times New Roman"/>
                <w:sz w:val="20"/>
                <w:szCs w:val="20"/>
              </w:rPr>
              <w:t xml:space="preserve">section </w:t>
            </w:r>
            <w:r w:rsidRPr="007424E0">
              <w:rPr>
                <w:rFonts w:ascii="Times New Roman" w:eastAsia="Calibri" w:hAnsi="Times New Roman" w:cs="Times New Roman"/>
                <w:i/>
                <w:iCs/>
                <w:sz w:val="20"/>
                <w:szCs w:val="20"/>
              </w:rPr>
              <w:t>Relocation Workbook Checklist</w:t>
            </w:r>
            <w:r w:rsidRPr="007424E0">
              <w:rPr>
                <w:rFonts w:ascii="Times New Roman" w:eastAsia="Calibri" w:hAnsi="Times New Roman" w:cs="Times New Roman"/>
                <w:sz w:val="20"/>
                <w:szCs w:val="20"/>
              </w:rPr>
              <w:t xml:space="preserve">, checklist associated with subsection </w:t>
            </w:r>
            <w:r w:rsidRPr="007424E0">
              <w:rPr>
                <w:rFonts w:ascii="Times New Roman" w:eastAsia="Calibri" w:hAnsi="Times New Roman" w:cs="Times New Roman"/>
                <w:i/>
                <w:iCs/>
                <w:sz w:val="20"/>
                <w:szCs w:val="20"/>
              </w:rPr>
              <w:t>Pre-Application Submission.</w:t>
            </w:r>
            <w:r w:rsidRPr="007424E0">
              <w:rPr>
                <w:rFonts w:ascii="Times New Roman" w:eastAsia="Calibri" w:hAnsi="Times New Roman" w:cs="Times New Roman"/>
                <w:sz w:val="20"/>
                <w:szCs w:val="20"/>
              </w:rPr>
              <w:t xml:space="preserve"> </w:t>
            </w:r>
          </w:p>
          <w:p w14:paraId="0D0B1962" w14:textId="77777777" w:rsidR="00B24E0A" w:rsidRPr="007424E0" w:rsidRDefault="00B24E0A"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Manually fill in the Pre-Application Relocation Summary tab. </w:t>
            </w:r>
          </w:p>
          <w:p w14:paraId="7DD97A66" w14:textId="77777777" w:rsidR="00B24E0A" w:rsidRPr="007424E0" w:rsidRDefault="00B24E0A" w:rsidP="000F6D48">
            <w:pPr>
              <w:pStyle w:val="ListParagraph"/>
              <w:numPr>
                <w:ilvl w:val="1"/>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Go to “</w:t>
            </w:r>
            <w:r w:rsidRPr="007424E0">
              <w:rPr>
                <w:rFonts w:ascii="Times New Roman" w:eastAsia="Calibri" w:hAnsi="Times New Roman" w:cs="Times New Roman"/>
                <w:i/>
                <w:iCs/>
                <w:sz w:val="20"/>
                <w:szCs w:val="20"/>
              </w:rPr>
              <w:t>2022 Pre-Application Forms</w:t>
            </w:r>
            <w:r w:rsidRPr="007424E0">
              <w:rPr>
                <w:rFonts w:ascii="Times New Roman" w:eastAsia="Calibri" w:hAnsi="Times New Roman" w:cs="Times New Roman"/>
                <w:sz w:val="20"/>
                <w:szCs w:val="20"/>
              </w:rPr>
              <w:t>” --  download “</w:t>
            </w:r>
            <w:r w:rsidRPr="007424E0">
              <w:rPr>
                <w:rFonts w:ascii="Times New Roman" w:eastAsia="Calibri" w:hAnsi="Times New Roman" w:cs="Times New Roman"/>
                <w:i/>
                <w:iCs/>
                <w:sz w:val="20"/>
                <w:szCs w:val="20"/>
              </w:rPr>
              <w:t>2022 Supplemental Pre-Application (includes Submission Summary tab for Fee Transmittal)</w:t>
            </w:r>
            <w:r w:rsidRPr="007424E0">
              <w:rPr>
                <w:rFonts w:ascii="Times New Roman" w:eastAsia="Calibri" w:hAnsi="Times New Roman" w:cs="Times New Roman"/>
                <w:sz w:val="20"/>
                <w:szCs w:val="20"/>
              </w:rPr>
              <w:t>” -- see “</w:t>
            </w:r>
            <w:r w:rsidRPr="007424E0">
              <w:rPr>
                <w:rFonts w:ascii="Times New Roman" w:eastAsia="Calibri" w:hAnsi="Times New Roman" w:cs="Times New Roman"/>
                <w:i/>
                <w:iCs/>
                <w:sz w:val="20"/>
                <w:szCs w:val="20"/>
              </w:rPr>
              <w:t>Relocation Summary</w:t>
            </w:r>
            <w:r w:rsidRPr="007424E0">
              <w:rPr>
                <w:rFonts w:ascii="Times New Roman" w:eastAsia="Calibri" w:hAnsi="Times New Roman" w:cs="Times New Roman"/>
                <w:sz w:val="20"/>
                <w:szCs w:val="20"/>
              </w:rPr>
              <w:t xml:space="preserve">” tab. </w:t>
            </w:r>
          </w:p>
          <w:p w14:paraId="1B3984EE" w14:textId="77777777" w:rsidR="00B24E0A" w:rsidRPr="007424E0" w:rsidRDefault="00B24E0A"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Written confirmation from federal agency (if applicable); and </w:t>
            </w:r>
          </w:p>
          <w:p w14:paraId="08AD6B44" w14:textId="77777777" w:rsidR="00B24E0A" w:rsidRPr="007424E0" w:rsidRDefault="00B24E0A" w:rsidP="000F6D48">
            <w:pPr>
              <w:pStyle w:val="ListParagraph"/>
              <w:numPr>
                <w:ilvl w:val="0"/>
                <w:numId w:val="7"/>
              </w:numPr>
              <w:rPr>
                <w:rFonts w:ascii="Times New Roman" w:eastAsia="Calibri" w:hAnsi="Times New Roman" w:cs="Times New Roman"/>
                <w:sz w:val="20"/>
                <w:szCs w:val="20"/>
              </w:rPr>
            </w:pPr>
            <w:r w:rsidRPr="007424E0">
              <w:rPr>
                <w:rFonts w:ascii="Times New Roman" w:eastAsia="Calibri" w:hAnsi="Times New Roman" w:cs="Times New Roman"/>
                <w:sz w:val="20"/>
                <w:szCs w:val="20"/>
              </w:rPr>
              <w:t>Any other supporting documentation.</w:t>
            </w:r>
          </w:p>
          <w:p w14:paraId="7FF8CA25" w14:textId="77777777" w:rsidR="00B24E0A" w:rsidRPr="007424E0" w:rsidRDefault="00B24E0A" w:rsidP="000F6D48">
            <w:pPr>
              <w:contextualSpacing/>
              <w:rPr>
                <w:rFonts w:ascii="Times New Roman" w:eastAsia="Calibri" w:hAnsi="Times New Roman" w:cs="Times New Roman"/>
                <w:sz w:val="20"/>
                <w:szCs w:val="20"/>
              </w:rPr>
            </w:pPr>
          </w:p>
          <w:p w14:paraId="066FE15C" w14:textId="77777777" w:rsidR="00B24E0A" w:rsidRPr="007424E0" w:rsidRDefault="00B24E0A" w:rsidP="000F6D48">
            <w:pPr>
              <w:contextualSpacing/>
              <w:rPr>
                <w:rFonts w:ascii="Times New Roman" w:eastAsia="Calibri" w:hAnsi="Times New Roman" w:cs="Times New Roman"/>
                <w:sz w:val="20"/>
                <w:szCs w:val="20"/>
              </w:rPr>
            </w:pPr>
            <w:r w:rsidRPr="007424E0">
              <w:rPr>
                <w:rFonts w:ascii="Times New Roman" w:eastAsia="Calibri" w:hAnsi="Times New Roman" w:cs="Times New Roman"/>
                <w:sz w:val="20"/>
                <w:szCs w:val="20"/>
              </w:rPr>
              <w:t xml:space="preserve">The same tabs in the checklist on page 6 must be completed in the Relocation Excel Workbook for an In-Place Rehab Waiver. This completed waiver documentation is required along with a copy of the GIN Draft.  </w:t>
            </w:r>
          </w:p>
        </w:tc>
      </w:tr>
      <w:tr w:rsidR="00B24E0A" w:rsidRPr="007424E0" w14:paraId="34A90F5E" w14:textId="77777777" w:rsidTr="64301FE8">
        <w:trPr>
          <w:jc w:val="center"/>
        </w:trPr>
        <w:tc>
          <w:tcPr>
            <w:tcW w:w="1697" w:type="dxa"/>
            <w:shd w:val="clear" w:color="auto" w:fill="auto"/>
            <w:tcMar>
              <w:top w:w="72" w:type="dxa"/>
              <w:left w:w="115" w:type="dxa"/>
              <w:bottom w:w="72" w:type="dxa"/>
              <w:right w:w="115" w:type="dxa"/>
            </w:tcMar>
            <w:vAlign w:val="center"/>
          </w:tcPr>
          <w:p w14:paraId="682AFE39"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3/3/22</w:t>
            </w:r>
          </w:p>
        </w:tc>
        <w:tc>
          <w:tcPr>
            <w:tcW w:w="2663" w:type="dxa"/>
            <w:shd w:val="clear" w:color="auto" w:fill="auto"/>
            <w:tcMar>
              <w:top w:w="72" w:type="dxa"/>
              <w:left w:w="115" w:type="dxa"/>
              <w:bottom w:w="72" w:type="dxa"/>
              <w:right w:w="115" w:type="dxa"/>
            </w:tcMar>
            <w:vAlign w:val="center"/>
          </w:tcPr>
          <w:p w14:paraId="5467D075"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w:t>
            </w:r>
          </w:p>
          <w:p w14:paraId="2DB50D18"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Threshold Criteria;</w:t>
            </w:r>
          </w:p>
          <w:p w14:paraId="15C41D79"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Occupied Developments</w:t>
            </w:r>
          </w:p>
        </w:tc>
        <w:tc>
          <w:tcPr>
            <w:tcW w:w="9585" w:type="dxa"/>
            <w:shd w:val="clear" w:color="auto" w:fill="auto"/>
            <w:tcMar>
              <w:top w:w="72" w:type="dxa"/>
              <w:left w:w="115" w:type="dxa"/>
              <w:bottom w:w="72" w:type="dxa"/>
              <w:right w:w="115" w:type="dxa"/>
            </w:tcMar>
            <w:vAlign w:val="center"/>
          </w:tcPr>
          <w:p w14:paraId="1FAB76F0"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Question</w:t>
            </w:r>
            <w:r w:rsidRPr="007424E0">
              <w:rPr>
                <w:rFonts w:ascii="Times New Roman" w:eastAsia="Times New Roman" w:hAnsi="Times New Roman" w:cs="Times New Roman"/>
                <w:sz w:val="20"/>
                <w:szCs w:val="20"/>
              </w:rPr>
              <w:t>: Q0216_02 </w:t>
            </w:r>
          </w:p>
          <w:p w14:paraId="0FFE8FB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It is likely that some of our market rate residents will not qualify for a tax credit unit after re-syndication and rehabilitation. Do we need to apply for a waiver during the Pre-Application stage?  </w:t>
            </w:r>
          </w:p>
          <w:p w14:paraId="33DBE746"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sz w:val="20"/>
                <w:szCs w:val="20"/>
              </w:rPr>
              <w:br/>
            </w:r>
            <w:r w:rsidRPr="007424E0">
              <w:rPr>
                <w:rFonts w:ascii="Times New Roman" w:eastAsia="Times New Roman" w:hAnsi="Times New Roman" w:cs="Times New Roman"/>
                <w:b/>
                <w:bCs/>
                <w:sz w:val="20"/>
                <w:szCs w:val="20"/>
              </w:rPr>
              <w:t>Answer</w:t>
            </w:r>
            <w:r w:rsidRPr="007424E0">
              <w:rPr>
                <w:rFonts w:ascii="Times New Roman" w:eastAsia="Times New Roman" w:hAnsi="Times New Roman" w:cs="Times New Roman"/>
                <w:sz w:val="20"/>
                <w:szCs w:val="20"/>
              </w:rPr>
              <w:t>:  </w:t>
            </w:r>
          </w:p>
          <w:p w14:paraId="16443E13"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Yes. The QAP states:  </w:t>
            </w:r>
          </w:p>
          <w:p w14:paraId="530E29FB" w14:textId="77777777" w:rsidR="00B24E0A" w:rsidRPr="007424E0" w:rsidRDefault="00B24E0A" w:rsidP="000F6D48">
            <w:pPr>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sz w:val="20"/>
                <w:szCs w:val="20"/>
              </w:rPr>
              <w:t> </w:t>
            </w:r>
          </w:p>
          <w:p w14:paraId="616D5C2C" w14:textId="77777777" w:rsidR="00B24E0A" w:rsidRPr="007424E0" w:rsidRDefault="00B24E0A" w:rsidP="000F6D48">
            <w:pPr>
              <w:ind w:left="720"/>
              <w:textAlignment w:val="baseline"/>
              <w:rPr>
                <w:rFonts w:ascii="Times New Roman" w:eastAsia="Times New Roman" w:hAnsi="Times New Roman" w:cs="Times New Roman"/>
                <w:sz w:val="20"/>
                <w:szCs w:val="20"/>
              </w:rPr>
            </w:pPr>
            <w:r w:rsidRPr="007424E0">
              <w:rPr>
                <w:rFonts w:ascii="Times New Roman" w:eastAsia="Times New Roman" w:hAnsi="Times New Roman" w:cs="Times New Roman"/>
                <w:b/>
                <w:bCs/>
                <w:sz w:val="20"/>
                <w:szCs w:val="20"/>
              </w:rPr>
              <w:t>Threshold Criteria, Occupied Developments</w:t>
            </w:r>
            <w:r w:rsidRPr="007424E0">
              <w:rPr>
                <w:rFonts w:ascii="Times New Roman" w:eastAsia="Times New Roman" w:hAnsi="Times New Roman" w:cs="Times New Roman"/>
                <w:sz w:val="20"/>
                <w:szCs w:val="20"/>
              </w:rPr>
              <w:t>: “</w:t>
            </w:r>
            <w:r w:rsidRPr="007424E0">
              <w:rPr>
                <w:rFonts w:ascii="Times New Roman" w:eastAsia="Times New Roman" w:hAnsi="Times New Roman" w:cs="Times New Roman"/>
                <w:i/>
                <w:iCs/>
                <w:sz w:val="20"/>
                <w:szCs w:val="20"/>
              </w:rPr>
              <w:t>Applicants that foresee in-place rehabilitation or permanent displacement of residents or non-residential tenants must submit a waiver request at pre-application</w:t>
            </w:r>
            <w:r w:rsidRPr="007424E0">
              <w:rPr>
                <w:rFonts w:ascii="Times New Roman" w:eastAsia="Times New Roman" w:hAnsi="Times New Roman" w:cs="Times New Roman"/>
                <w:sz w:val="20"/>
                <w:szCs w:val="20"/>
              </w:rPr>
              <w:t>.” </w:t>
            </w:r>
          </w:p>
          <w:p w14:paraId="3B75E398" w14:textId="77777777" w:rsidR="00B24E0A" w:rsidRPr="007424E0" w:rsidRDefault="00B24E0A" w:rsidP="000F6D48">
            <w:pPr>
              <w:contextualSpacing/>
              <w:rPr>
                <w:rFonts w:ascii="Times New Roman" w:hAnsi="Times New Roman" w:cs="Times New Roman"/>
                <w:b/>
                <w:bCs/>
                <w:sz w:val="20"/>
                <w:szCs w:val="20"/>
              </w:rPr>
            </w:pPr>
          </w:p>
        </w:tc>
      </w:tr>
      <w:tr w:rsidR="00B24E0A" w:rsidRPr="007424E0" w14:paraId="7AC3E3FE" w14:textId="77777777" w:rsidTr="64301FE8">
        <w:trPr>
          <w:jc w:val="center"/>
        </w:trPr>
        <w:tc>
          <w:tcPr>
            <w:tcW w:w="1697" w:type="dxa"/>
            <w:shd w:val="clear" w:color="auto" w:fill="auto"/>
            <w:tcMar>
              <w:top w:w="72" w:type="dxa"/>
              <w:left w:w="115" w:type="dxa"/>
              <w:bottom w:w="72" w:type="dxa"/>
              <w:right w:w="115" w:type="dxa"/>
            </w:tcMar>
            <w:vAlign w:val="center"/>
          </w:tcPr>
          <w:p w14:paraId="54BF581F"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2/25/22</w:t>
            </w:r>
          </w:p>
        </w:tc>
        <w:tc>
          <w:tcPr>
            <w:tcW w:w="2663" w:type="dxa"/>
            <w:shd w:val="clear" w:color="auto" w:fill="auto"/>
            <w:tcMar>
              <w:top w:w="72" w:type="dxa"/>
              <w:left w:w="115" w:type="dxa"/>
              <w:bottom w:w="72" w:type="dxa"/>
              <w:right w:w="115" w:type="dxa"/>
            </w:tcMar>
            <w:vAlign w:val="center"/>
          </w:tcPr>
          <w:p w14:paraId="4BA48855"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2.20</w:t>
            </w:r>
          </w:p>
          <w:p w14:paraId="020F1460"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 xml:space="preserve">Threshold Criteria; </w:t>
            </w:r>
          </w:p>
          <w:p w14:paraId="178D6525" w14:textId="77777777" w:rsidR="00B24E0A" w:rsidRPr="007424E0" w:rsidRDefault="00B24E0A" w:rsidP="000F6D48">
            <w:pPr>
              <w:contextualSpacing/>
              <w:rPr>
                <w:rFonts w:ascii="Times New Roman" w:hAnsi="Times New Roman" w:cs="Times New Roman"/>
                <w:noProof/>
                <w:sz w:val="20"/>
                <w:szCs w:val="20"/>
              </w:rPr>
            </w:pPr>
            <w:r w:rsidRPr="007424E0">
              <w:rPr>
                <w:rFonts w:ascii="Times New Roman" w:hAnsi="Times New Roman" w:cs="Times New Roman"/>
                <w:noProof/>
                <w:sz w:val="20"/>
                <w:szCs w:val="20"/>
              </w:rPr>
              <w:t>Experience, Capacity and Performance Requirements for General Partner and Developer Entities</w:t>
            </w:r>
          </w:p>
        </w:tc>
        <w:tc>
          <w:tcPr>
            <w:tcW w:w="9585" w:type="dxa"/>
            <w:shd w:val="clear" w:color="auto" w:fill="auto"/>
            <w:tcMar>
              <w:top w:w="72" w:type="dxa"/>
              <w:left w:w="115" w:type="dxa"/>
              <w:bottom w:w="72" w:type="dxa"/>
              <w:right w:w="115" w:type="dxa"/>
            </w:tcMar>
            <w:vAlign w:val="center"/>
          </w:tcPr>
          <w:p w14:paraId="266DEDC0"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Question</w:t>
            </w:r>
            <w:r w:rsidRPr="007424E0">
              <w:rPr>
                <w:rStyle w:val="normaltextrun"/>
                <w:sz w:val="20"/>
                <w:szCs w:val="20"/>
              </w:rPr>
              <w:t>: Q0218_02</w:t>
            </w:r>
            <w:r w:rsidRPr="007424E0">
              <w:rPr>
                <w:rStyle w:val="eop"/>
                <w:sz w:val="20"/>
                <w:szCs w:val="20"/>
              </w:rPr>
              <w:t> </w:t>
            </w:r>
          </w:p>
          <w:p w14:paraId="624696CB"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We were pre-qualified last year. Do we need to submit another pre-application for qualifications review this year or could we rely on last year’s qualified determination? </w:t>
            </w:r>
            <w:r w:rsidRPr="007424E0">
              <w:rPr>
                <w:rStyle w:val="eop"/>
                <w:sz w:val="20"/>
                <w:szCs w:val="20"/>
              </w:rPr>
              <w:t> </w:t>
            </w:r>
            <w:r w:rsidRPr="007424E0">
              <w:rPr>
                <w:rStyle w:val="normaltextrun"/>
                <w:sz w:val="20"/>
                <w:szCs w:val="20"/>
              </w:rPr>
              <w:t>If the latter, do we just submit last year’s qualifications approval with our Full Application? </w:t>
            </w:r>
            <w:r w:rsidRPr="007424E0">
              <w:rPr>
                <w:rStyle w:val="eop"/>
                <w:sz w:val="20"/>
                <w:szCs w:val="20"/>
              </w:rPr>
              <w:t> </w:t>
            </w:r>
          </w:p>
          <w:p w14:paraId="4913E4DA"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1B3F69BF"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b/>
                <w:bCs/>
                <w:sz w:val="20"/>
                <w:szCs w:val="20"/>
              </w:rPr>
              <w:t>Answer</w:t>
            </w:r>
            <w:r w:rsidRPr="007424E0">
              <w:rPr>
                <w:rStyle w:val="normaltextrun"/>
                <w:sz w:val="20"/>
                <w:szCs w:val="20"/>
              </w:rPr>
              <w:t>:</w:t>
            </w:r>
            <w:r w:rsidRPr="007424E0">
              <w:rPr>
                <w:rStyle w:val="eop"/>
                <w:sz w:val="20"/>
                <w:szCs w:val="20"/>
              </w:rPr>
              <w:t> </w:t>
            </w:r>
          </w:p>
          <w:p w14:paraId="6AC88319"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 xml:space="preserve">The 2022 QAP states in </w:t>
            </w:r>
            <w:r w:rsidRPr="007424E0">
              <w:rPr>
                <w:rStyle w:val="normaltextrun"/>
                <w:i/>
                <w:iCs/>
                <w:sz w:val="20"/>
                <w:szCs w:val="20"/>
              </w:rPr>
              <w:t>Threshold Criteria, Experience, Capacity and Performance Requirements for General Partner and Developer Entities: </w:t>
            </w:r>
            <w:r w:rsidRPr="007424E0">
              <w:rPr>
                <w:rStyle w:val="normaltextrun"/>
                <w:i/>
                <w:iCs/>
                <w:sz w:val="20"/>
                <w:szCs w:val="20"/>
              </w:rPr>
              <w:br/>
            </w:r>
            <w:r w:rsidRPr="007424E0">
              <w:rPr>
                <w:rStyle w:val="eop"/>
                <w:i/>
                <w:iCs/>
                <w:sz w:val="20"/>
                <w:szCs w:val="20"/>
              </w:rPr>
              <w:t> </w:t>
            </w:r>
          </w:p>
          <w:p w14:paraId="295A578F" w14:textId="77777777" w:rsidR="00B24E0A" w:rsidRPr="007424E0" w:rsidRDefault="00B24E0A"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Overview</w:t>
            </w:r>
            <w:r w:rsidRPr="007424E0">
              <w:rPr>
                <w:rStyle w:val="normaltextrun"/>
                <w:sz w:val="20"/>
                <w:szCs w:val="20"/>
              </w:rPr>
              <w:t>:</w:t>
            </w:r>
            <w:r w:rsidRPr="007424E0">
              <w:rPr>
                <w:rStyle w:val="normaltextrun"/>
                <w:b/>
                <w:bCs/>
                <w:sz w:val="20"/>
                <w:szCs w:val="20"/>
              </w:rPr>
              <w:t xml:space="preserve"> </w:t>
            </w:r>
            <w:r w:rsidRPr="007424E0">
              <w:rPr>
                <w:rStyle w:val="normaltextrun"/>
                <w:sz w:val="20"/>
                <w:szCs w:val="20"/>
              </w:rPr>
              <w:t>“DCA reviews the following four areas of the proposed Project Team: Experience, Capacity, Performance, Compliance History…”</w:t>
            </w:r>
            <w:r w:rsidRPr="007424E0">
              <w:rPr>
                <w:rStyle w:val="eop"/>
                <w:sz w:val="20"/>
                <w:szCs w:val="20"/>
              </w:rPr>
              <w:t> </w:t>
            </w:r>
          </w:p>
          <w:p w14:paraId="09DDDDFF" w14:textId="77777777" w:rsidR="00B24E0A" w:rsidRPr="007424E0" w:rsidRDefault="00B24E0A" w:rsidP="000F6D48">
            <w:pPr>
              <w:pStyle w:val="paragraph"/>
              <w:numPr>
                <w:ilvl w:val="0"/>
                <w:numId w:val="6"/>
              </w:numPr>
              <w:spacing w:before="0" w:beforeAutospacing="0" w:after="0" w:afterAutospacing="0"/>
              <w:textAlignment w:val="baseline"/>
              <w:rPr>
                <w:sz w:val="20"/>
                <w:szCs w:val="20"/>
              </w:rPr>
            </w:pPr>
            <w:r w:rsidRPr="007424E0">
              <w:rPr>
                <w:rStyle w:val="normaltextrun"/>
                <w:i/>
                <w:iCs/>
                <w:sz w:val="20"/>
                <w:szCs w:val="20"/>
              </w:rPr>
              <w:t>C. Requirements for Experience (Certifying Entity)</w:t>
            </w:r>
            <w:r w:rsidRPr="007424E0">
              <w:rPr>
                <w:rStyle w:val="normaltextrun"/>
                <w:sz w:val="20"/>
                <w:szCs w:val="20"/>
              </w:rPr>
              <w:t>: “A certifying entity that was deemed to meet experience requirements in 2021 is only exempt from submitting documentation of experience for the 2022 round. All other sections…of the performance workbook must be completed. Only those certifying entities that have received a determination letter of “Qualified” in the 2021 round will be deemed to qualify under grandfathering.”</w:t>
            </w:r>
            <w:r w:rsidRPr="007424E0">
              <w:rPr>
                <w:rStyle w:val="eop"/>
                <w:sz w:val="20"/>
                <w:szCs w:val="20"/>
              </w:rPr>
              <w:t> </w:t>
            </w:r>
          </w:p>
          <w:p w14:paraId="1F9A3955"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eop"/>
                <w:sz w:val="20"/>
                <w:szCs w:val="20"/>
              </w:rPr>
              <w:t> </w:t>
            </w:r>
          </w:p>
          <w:p w14:paraId="7A964678" w14:textId="77777777" w:rsidR="00B24E0A" w:rsidRPr="007424E0" w:rsidRDefault="00B24E0A" w:rsidP="000F6D48">
            <w:pPr>
              <w:pStyle w:val="paragraph"/>
              <w:spacing w:before="0" w:beforeAutospacing="0" w:after="0" w:afterAutospacing="0"/>
              <w:textAlignment w:val="baseline"/>
              <w:rPr>
                <w:sz w:val="20"/>
                <w:szCs w:val="20"/>
              </w:rPr>
            </w:pPr>
            <w:r w:rsidRPr="007424E0">
              <w:rPr>
                <w:rStyle w:val="normaltextrun"/>
                <w:sz w:val="20"/>
                <w:szCs w:val="20"/>
              </w:rPr>
              <w:t>Applicants seeking Experience approval under “grandfathering,” as described above, can submit the letter received from DCA confirming qualifications approval for the 2021 Competitive Round. All other parts of the qualifications review must be submitted in full for the 2022 Competitive Round. </w:t>
            </w:r>
          </w:p>
          <w:p w14:paraId="721A6C91" w14:textId="77777777" w:rsidR="00B24E0A" w:rsidRPr="007424E0" w:rsidRDefault="00B24E0A" w:rsidP="000F6D48">
            <w:pPr>
              <w:contextualSpacing/>
              <w:rPr>
                <w:rFonts w:ascii="Times New Roman" w:hAnsi="Times New Roman" w:cs="Times New Roman"/>
                <w:b/>
                <w:bCs/>
                <w:sz w:val="20"/>
                <w:szCs w:val="20"/>
              </w:rPr>
            </w:pPr>
          </w:p>
        </w:tc>
      </w:tr>
    </w:tbl>
    <w:p w14:paraId="433F1041" w14:textId="77777777" w:rsidR="009A7564" w:rsidRPr="00A938F4" w:rsidRDefault="009A7564" w:rsidP="00424900">
      <w:pPr>
        <w:spacing w:after="0" w:line="240" w:lineRule="auto"/>
        <w:contextualSpacing/>
        <w:rPr>
          <w:rFonts w:ascii="Times New Roman" w:hAnsi="Times New Roman" w:cs="Times New Roman"/>
          <w:noProof/>
        </w:rPr>
      </w:pPr>
    </w:p>
    <w:sectPr w:rsidR="009A7564" w:rsidRPr="00A938F4" w:rsidSect="00A341E3">
      <w:headerReference w:type="default" r:id="rId64"/>
      <w:footerReference w:type="default" r:id="rId65"/>
      <w:headerReference w:type="first" r:id="rId6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DC872" w14:textId="77777777" w:rsidR="0050644D" w:rsidRDefault="0050644D" w:rsidP="00441946">
      <w:pPr>
        <w:spacing w:after="0" w:line="240" w:lineRule="auto"/>
      </w:pPr>
      <w:r>
        <w:separator/>
      </w:r>
    </w:p>
  </w:endnote>
  <w:endnote w:type="continuationSeparator" w:id="0">
    <w:p w14:paraId="25911E89" w14:textId="77777777" w:rsidR="0050644D" w:rsidRDefault="0050644D" w:rsidP="00441946">
      <w:pPr>
        <w:spacing w:after="0" w:line="240" w:lineRule="auto"/>
      </w:pPr>
      <w:r>
        <w:continuationSeparator/>
      </w:r>
    </w:p>
  </w:endnote>
  <w:endnote w:type="continuationNotice" w:id="1">
    <w:p w14:paraId="6B3A65F3" w14:textId="77777777" w:rsidR="0050644D" w:rsidRDefault="005064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FDD60" w14:textId="77777777" w:rsidR="009C4ADE" w:rsidRDefault="009C4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E614BC" w14:textId="77777777" w:rsidR="0050644D" w:rsidRDefault="0050644D" w:rsidP="00441946">
      <w:pPr>
        <w:spacing w:after="0" w:line="240" w:lineRule="auto"/>
      </w:pPr>
      <w:r>
        <w:separator/>
      </w:r>
    </w:p>
  </w:footnote>
  <w:footnote w:type="continuationSeparator" w:id="0">
    <w:p w14:paraId="2B834FAC" w14:textId="77777777" w:rsidR="0050644D" w:rsidRDefault="0050644D" w:rsidP="00441946">
      <w:pPr>
        <w:spacing w:after="0" w:line="240" w:lineRule="auto"/>
      </w:pPr>
      <w:r>
        <w:continuationSeparator/>
      </w:r>
    </w:p>
  </w:footnote>
  <w:footnote w:type="continuationNotice" w:id="1">
    <w:p w14:paraId="3EC39A8B" w14:textId="77777777" w:rsidR="0050644D" w:rsidRDefault="005064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42CB" w14:textId="77777777" w:rsidR="009C4ADE" w:rsidRDefault="009C4A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6F81A" w14:textId="761E2A05" w:rsidR="00B104DA" w:rsidRPr="00AA437D" w:rsidRDefault="00B104DA">
    <w:pPr>
      <w:pStyle w:val="Header"/>
      <w:rPr>
        <w:rFonts w:ascii="Times New Roman" w:hAnsi="Times New Roman" w:cs="Times New Roman"/>
        <w:sz w:val="24"/>
        <w:szCs w:val="24"/>
      </w:rPr>
    </w:pPr>
    <w:r w:rsidRPr="00AA437D">
      <w:rPr>
        <w:rFonts w:ascii="Times New Roman" w:hAnsi="Times New Roman" w:cs="Times New Roman"/>
        <w:sz w:val="24"/>
        <w:szCs w:val="24"/>
      </w:rPr>
      <w:t xml:space="preserve">Governor Brian Kemp </w:t>
    </w:r>
    <w:r w:rsidRPr="00AA437D">
      <w:rPr>
        <w:rFonts w:ascii="Times New Roman" w:hAnsi="Times New Roman" w:cs="Times New Roman"/>
        <w:sz w:val="24"/>
        <w:szCs w:val="24"/>
      </w:rPr>
      <w:ptab w:relativeTo="margin" w:alignment="center" w:leader="none"/>
    </w:r>
    <w:r w:rsidRPr="00AA437D">
      <w:rPr>
        <w:rFonts w:ascii="Times New Roman" w:hAnsi="Times New Roman" w:cs="Times New Roman"/>
        <w:sz w:val="24"/>
        <w:szCs w:val="24"/>
      </w:rPr>
      <w:ptab w:relativeTo="margin" w:alignment="right" w:leader="none"/>
    </w:r>
    <w:r w:rsidRPr="00AA437D">
      <w:rPr>
        <w:rFonts w:ascii="Times New Roman" w:hAnsi="Times New Roman" w:cs="Times New Roman"/>
        <w:sz w:val="24"/>
        <w:szCs w:val="24"/>
      </w:rPr>
      <w:t>Executive Director Christopher Nunn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0066"/>
    <w:multiLevelType w:val="multilevel"/>
    <w:tmpl w:val="DF4CF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A685F"/>
    <w:multiLevelType w:val="hybridMultilevel"/>
    <w:tmpl w:val="B0842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FB6C7E"/>
    <w:multiLevelType w:val="multilevel"/>
    <w:tmpl w:val="D81675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4E2C61"/>
    <w:multiLevelType w:val="multilevel"/>
    <w:tmpl w:val="5D84FF9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A850B7"/>
    <w:multiLevelType w:val="multilevel"/>
    <w:tmpl w:val="784C6B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9FF1AB1"/>
    <w:multiLevelType w:val="multilevel"/>
    <w:tmpl w:val="3F5C32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F69ED"/>
    <w:multiLevelType w:val="multilevel"/>
    <w:tmpl w:val="FE66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BF5ABD"/>
    <w:multiLevelType w:val="multilevel"/>
    <w:tmpl w:val="86B65C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DBD2F80"/>
    <w:multiLevelType w:val="hybridMultilevel"/>
    <w:tmpl w:val="1F80C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046755"/>
    <w:multiLevelType w:val="multilevel"/>
    <w:tmpl w:val="E5B848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3BD78AE"/>
    <w:multiLevelType w:val="hybridMultilevel"/>
    <w:tmpl w:val="FFFFFFFF"/>
    <w:lvl w:ilvl="0" w:tplc="0D1AF1BC">
      <w:start w:val="1"/>
      <w:numFmt w:val="decimal"/>
      <w:lvlText w:val="%1."/>
      <w:lvlJc w:val="left"/>
      <w:pPr>
        <w:ind w:left="720" w:hanging="360"/>
      </w:pPr>
    </w:lvl>
    <w:lvl w:ilvl="1" w:tplc="5142A162">
      <w:start w:val="1"/>
      <w:numFmt w:val="lowerLetter"/>
      <w:lvlText w:val="%2."/>
      <w:lvlJc w:val="left"/>
      <w:pPr>
        <w:ind w:left="1440" w:hanging="360"/>
      </w:pPr>
    </w:lvl>
    <w:lvl w:ilvl="2" w:tplc="B574BEE4">
      <w:start w:val="1"/>
      <w:numFmt w:val="lowerRoman"/>
      <w:lvlText w:val="%3."/>
      <w:lvlJc w:val="right"/>
      <w:pPr>
        <w:ind w:left="2160" w:hanging="180"/>
      </w:pPr>
    </w:lvl>
    <w:lvl w:ilvl="3" w:tplc="C3A8A1D6">
      <w:start w:val="1"/>
      <w:numFmt w:val="decimal"/>
      <w:lvlText w:val="%4."/>
      <w:lvlJc w:val="left"/>
      <w:pPr>
        <w:ind w:left="2880" w:hanging="360"/>
      </w:pPr>
    </w:lvl>
    <w:lvl w:ilvl="4" w:tplc="037C22BC">
      <w:start w:val="1"/>
      <w:numFmt w:val="lowerLetter"/>
      <w:lvlText w:val="%5."/>
      <w:lvlJc w:val="left"/>
      <w:pPr>
        <w:ind w:left="3600" w:hanging="360"/>
      </w:pPr>
    </w:lvl>
    <w:lvl w:ilvl="5" w:tplc="CFEAF66C">
      <w:start w:val="1"/>
      <w:numFmt w:val="lowerRoman"/>
      <w:lvlText w:val="%6."/>
      <w:lvlJc w:val="right"/>
      <w:pPr>
        <w:ind w:left="4320" w:hanging="180"/>
      </w:pPr>
    </w:lvl>
    <w:lvl w:ilvl="6" w:tplc="22D6F28C">
      <w:start w:val="1"/>
      <w:numFmt w:val="decimal"/>
      <w:lvlText w:val="%7."/>
      <w:lvlJc w:val="left"/>
      <w:pPr>
        <w:ind w:left="5040" w:hanging="360"/>
      </w:pPr>
    </w:lvl>
    <w:lvl w:ilvl="7" w:tplc="66368CB2">
      <w:start w:val="1"/>
      <w:numFmt w:val="lowerLetter"/>
      <w:lvlText w:val="%8."/>
      <w:lvlJc w:val="left"/>
      <w:pPr>
        <w:ind w:left="5760" w:hanging="360"/>
      </w:pPr>
    </w:lvl>
    <w:lvl w:ilvl="8" w:tplc="ECBA367E">
      <w:start w:val="1"/>
      <w:numFmt w:val="lowerRoman"/>
      <w:lvlText w:val="%9."/>
      <w:lvlJc w:val="right"/>
      <w:pPr>
        <w:ind w:left="6480" w:hanging="180"/>
      </w:pPr>
    </w:lvl>
  </w:abstractNum>
  <w:abstractNum w:abstractNumId="11" w15:restartNumberingAfterBreak="0">
    <w:nsid w:val="1A490678"/>
    <w:multiLevelType w:val="hybridMultilevel"/>
    <w:tmpl w:val="C1A68B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8B7961"/>
    <w:multiLevelType w:val="hybridMultilevel"/>
    <w:tmpl w:val="8B60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680C59"/>
    <w:multiLevelType w:val="multilevel"/>
    <w:tmpl w:val="D7CEA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45A57B1"/>
    <w:multiLevelType w:val="hybridMultilevel"/>
    <w:tmpl w:val="E38AB278"/>
    <w:lvl w:ilvl="0" w:tplc="3508BE56">
      <w:start w:val="1"/>
      <w:numFmt w:val="bullet"/>
      <w:lvlText w:val=""/>
      <w:lvlJc w:val="left"/>
      <w:pPr>
        <w:ind w:left="720" w:hanging="360"/>
      </w:pPr>
      <w:rPr>
        <w:rFonts w:ascii="Symbol" w:hAnsi="Symbol" w:hint="default"/>
      </w:rPr>
    </w:lvl>
    <w:lvl w:ilvl="1" w:tplc="8AAC5AB2">
      <w:start w:val="1"/>
      <w:numFmt w:val="bullet"/>
      <w:lvlText w:val="o"/>
      <w:lvlJc w:val="left"/>
      <w:pPr>
        <w:ind w:left="1440" w:hanging="360"/>
      </w:pPr>
      <w:rPr>
        <w:rFonts w:ascii="Courier New" w:hAnsi="Courier New" w:hint="default"/>
      </w:rPr>
    </w:lvl>
    <w:lvl w:ilvl="2" w:tplc="F77C1C70">
      <w:start w:val="1"/>
      <w:numFmt w:val="bullet"/>
      <w:lvlText w:val=""/>
      <w:lvlJc w:val="left"/>
      <w:pPr>
        <w:ind w:left="2160" w:hanging="360"/>
      </w:pPr>
      <w:rPr>
        <w:rFonts w:ascii="Wingdings" w:hAnsi="Wingdings" w:hint="default"/>
      </w:rPr>
    </w:lvl>
    <w:lvl w:ilvl="3" w:tplc="7BBC59F0">
      <w:start w:val="1"/>
      <w:numFmt w:val="bullet"/>
      <w:lvlText w:val=""/>
      <w:lvlJc w:val="left"/>
      <w:pPr>
        <w:ind w:left="2880" w:hanging="360"/>
      </w:pPr>
      <w:rPr>
        <w:rFonts w:ascii="Symbol" w:hAnsi="Symbol" w:hint="default"/>
      </w:rPr>
    </w:lvl>
    <w:lvl w:ilvl="4" w:tplc="CAAA9796">
      <w:start w:val="1"/>
      <w:numFmt w:val="bullet"/>
      <w:lvlText w:val="o"/>
      <w:lvlJc w:val="left"/>
      <w:pPr>
        <w:ind w:left="3600" w:hanging="360"/>
      </w:pPr>
      <w:rPr>
        <w:rFonts w:ascii="Courier New" w:hAnsi="Courier New" w:hint="default"/>
      </w:rPr>
    </w:lvl>
    <w:lvl w:ilvl="5" w:tplc="C3E6C694">
      <w:start w:val="1"/>
      <w:numFmt w:val="bullet"/>
      <w:lvlText w:val=""/>
      <w:lvlJc w:val="left"/>
      <w:pPr>
        <w:ind w:left="4320" w:hanging="360"/>
      </w:pPr>
      <w:rPr>
        <w:rFonts w:ascii="Wingdings" w:hAnsi="Wingdings" w:hint="default"/>
      </w:rPr>
    </w:lvl>
    <w:lvl w:ilvl="6" w:tplc="BBDA3C18">
      <w:start w:val="1"/>
      <w:numFmt w:val="bullet"/>
      <w:lvlText w:val=""/>
      <w:lvlJc w:val="left"/>
      <w:pPr>
        <w:ind w:left="5040" w:hanging="360"/>
      </w:pPr>
      <w:rPr>
        <w:rFonts w:ascii="Symbol" w:hAnsi="Symbol" w:hint="default"/>
      </w:rPr>
    </w:lvl>
    <w:lvl w:ilvl="7" w:tplc="C7BABC48">
      <w:start w:val="1"/>
      <w:numFmt w:val="bullet"/>
      <w:lvlText w:val="o"/>
      <w:lvlJc w:val="left"/>
      <w:pPr>
        <w:ind w:left="5760" w:hanging="360"/>
      </w:pPr>
      <w:rPr>
        <w:rFonts w:ascii="Courier New" w:hAnsi="Courier New" w:hint="default"/>
      </w:rPr>
    </w:lvl>
    <w:lvl w:ilvl="8" w:tplc="C1B27896">
      <w:start w:val="1"/>
      <w:numFmt w:val="bullet"/>
      <w:lvlText w:val=""/>
      <w:lvlJc w:val="left"/>
      <w:pPr>
        <w:ind w:left="6480" w:hanging="360"/>
      </w:pPr>
      <w:rPr>
        <w:rFonts w:ascii="Wingdings" w:hAnsi="Wingdings" w:hint="default"/>
      </w:rPr>
    </w:lvl>
  </w:abstractNum>
  <w:abstractNum w:abstractNumId="15" w15:restartNumberingAfterBreak="0">
    <w:nsid w:val="24935BAC"/>
    <w:multiLevelType w:val="hybridMultilevel"/>
    <w:tmpl w:val="45261214"/>
    <w:lvl w:ilvl="0" w:tplc="06100C52">
      <w:start w:val="1"/>
      <w:numFmt w:val="bullet"/>
      <w:lvlText w:val=""/>
      <w:lvlJc w:val="left"/>
      <w:pPr>
        <w:ind w:left="720" w:hanging="360"/>
      </w:pPr>
      <w:rPr>
        <w:rFonts w:ascii="Symbol" w:hAnsi="Symbol" w:hint="default"/>
      </w:rPr>
    </w:lvl>
    <w:lvl w:ilvl="1" w:tplc="EC2E264E">
      <w:start w:val="1"/>
      <w:numFmt w:val="bullet"/>
      <w:lvlText w:val=""/>
      <w:lvlJc w:val="left"/>
      <w:pPr>
        <w:ind w:left="1440" w:hanging="360"/>
      </w:pPr>
      <w:rPr>
        <w:rFonts w:ascii="Symbol" w:hAnsi="Symbol" w:hint="default"/>
      </w:rPr>
    </w:lvl>
    <w:lvl w:ilvl="2" w:tplc="E1A2A246">
      <w:start w:val="1"/>
      <w:numFmt w:val="bullet"/>
      <w:lvlText w:val=""/>
      <w:lvlJc w:val="left"/>
      <w:pPr>
        <w:ind w:left="2160" w:hanging="360"/>
      </w:pPr>
      <w:rPr>
        <w:rFonts w:ascii="Wingdings" w:hAnsi="Wingdings" w:hint="default"/>
      </w:rPr>
    </w:lvl>
    <w:lvl w:ilvl="3" w:tplc="D14839E2">
      <w:start w:val="1"/>
      <w:numFmt w:val="bullet"/>
      <w:lvlText w:val=""/>
      <w:lvlJc w:val="left"/>
      <w:pPr>
        <w:ind w:left="2880" w:hanging="360"/>
      </w:pPr>
      <w:rPr>
        <w:rFonts w:ascii="Symbol" w:hAnsi="Symbol" w:hint="default"/>
      </w:rPr>
    </w:lvl>
    <w:lvl w:ilvl="4" w:tplc="1A581950">
      <w:start w:val="1"/>
      <w:numFmt w:val="bullet"/>
      <w:lvlText w:val="o"/>
      <w:lvlJc w:val="left"/>
      <w:pPr>
        <w:ind w:left="3600" w:hanging="360"/>
      </w:pPr>
      <w:rPr>
        <w:rFonts w:ascii="Courier New" w:hAnsi="Courier New" w:hint="default"/>
      </w:rPr>
    </w:lvl>
    <w:lvl w:ilvl="5" w:tplc="7E76F61A">
      <w:start w:val="1"/>
      <w:numFmt w:val="bullet"/>
      <w:lvlText w:val=""/>
      <w:lvlJc w:val="left"/>
      <w:pPr>
        <w:ind w:left="4320" w:hanging="360"/>
      </w:pPr>
      <w:rPr>
        <w:rFonts w:ascii="Wingdings" w:hAnsi="Wingdings" w:hint="default"/>
      </w:rPr>
    </w:lvl>
    <w:lvl w:ilvl="6" w:tplc="0032F28A">
      <w:start w:val="1"/>
      <w:numFmt w:val="bullet"/>
      <w:lvlText w:val=""/>
      <w:lvlJc w:val="left"/>
      <w:pPr>
        <w:ind w:left="5040" w:hanging="360"/>
      </w:pPr>
      <w:rPr>
        <w:rFonts w:ascii="Symbol" w:hAnsi="Symbol" w:hint="default"/>
      </w:rPr>
    </w:lvl>
    <w:lvl w:ilvl="7" w:tplc="6284EDDA">
      <w:start w:val="1"/>
      <w:numFmt w:val="bullet"/>
      <w:lvlText w:val="o"/>
      <w:lvlJc w:val="left"/>
      <w:pPr>
        <w:ind w:left="5760" w:hanging="360"/>
      </w:pPr>
      <w:rPr>
        <w:rFonts w:ascii="Courier New" w:hAnsi="Courier New" w:hint="default"/>
      </w:rPr>
    </w:lvl>
    <w:lvl w:ilvl="8" w:tplc="7E48272A">
      <w:start w:val="1"/>
      <w:numFmt w:val="bullet"/>
      <w:lvlText w:val=""/>
      <w:lvlJc w:val="left"/>
      <w:pPr>
        <w:ind w:left="6480" w:hanging="360"/>
      </w:pPr>
      <w:rPr>
        <w:rFonts w:ascii="Wingdings" w:hAnsi="Wingdings" w:hint="default"/>
      </w:rPr>
    </w:lvl>
  </w:abstractNum>
  <w:abstractNum w:abstractNumId="16" w15:restartNumberingAfterBreak="0">
    <w:nsid w:val="25A851F7"/>
    <w:multiLevelType w:val="hybridMultilevel"/>
    <w:tmpl w:val="87FC5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385DB3"/>
    <w:multiLevelType w:val="multilevel"/>
    <w:tmpl w:val="EB6C361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CB023E2"/>
    <w:multiLevelType w:val="multilevel"/>
    <w:tmpl w:val="A970A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BD1AA4"/>
    <w:multiLevelType w:val="hybridMultilevel"/>
    <w:tmpl w:val="FFFFFFFF"/>
    <w:lvl w:ilvl="0" w:tplc="53E28808">
      <w:start w:val="1"/>
      <w:numFmt w:val="bullet"/>
      <w:lvlText w:val=""/>
      <w:lvlJc w:val="left"/>
      <w:pPr>
        <w:ind w:left="720" w:hanging="360"/>
      </w:pPr>
      <w:rPr>
        <w:rFonts w:ascii="Symbol" w:hAnsi="Symbol" w:hint="default"/>
      </w:rPr>
    </w:lvl>
    <w:lvl w:ilvl="1" w:tplc="131CA0D0">
      <w:start w:val="1"/>
      <w:numFmt w:val="bullet"/>
      <w:lvlText w:val="o"/>
      <w:lvlJc w:val="left"/>
      <w:pPr>
        <w:ind w:left="1440" w:hanging="360"/>
      </w:pPr>
      <w:rPr>
        <w:rFonts w:ascii="Courier New" w:hAnsi="Courier New" w:hint="default"/>
      </w:rPr>
    </w:lvl>
    <w:lvl w:ilvl="2" w:tplc="B2284CA0">
      <w:start w:val="1"/>
      <w:numFmt w:val="bullet"/>
      <w:lvlText w:val=""/>
      <w:lvlJc w:val="left"/>
      <w:pPr>
        <w:ind w:left="2160" w:hanging="360"/>
      </w:pPr>
      <w:rPr>
        <w:rFonts w:ascii="Wingdings" w:hAnsi="Wingdings" w:hint="default"/>
      </w:rPr>
    </w:lvl>
    <w:lvl w:ilvl="3" w:tplc="23582F7C">
      <w:start w:val="1"/>
      <w:numFmt w:val="bullet"/>
      <w:lvlText w:val=""/>
      <w:lvlJc w:val="left"/>
      <w:pPr>
        <w:ind w:left="2880" w:hanging="360"/>
      </w:pPr>
      <w:rPr>
        <w:rFonts w:ascii="Symbol" w:hAnsi="Symbol" w:hint="default"/>
      </w:rPr>
    </w:lvl>
    <w:lvl w:ilvl="4" w:tplc="0E149736">
      <w:start w:val="1"/>
      <w:numFmt w:val="bullet"/>
      <w:lvlText w:val="o"/>
      <w:lvlJc w:val="left"/>
      <w:pPr>
        <w:ind w:left="3600" w:hanging="360"/>
      </w:pPr>
      <w:rPr>
        <w:rFonts w:ascii="Courier New" w:hAnsi="Courier New" w:hint="default"/>
      </w:rPr>
    </w:lvl>
    <w:lvl w:ilvl="5" w:tplc="5C884576">
      <w:start w:val="1"/>
      <w:numFmt w:val="bullet"/>
      <w:lvlText w:val=""/>
      <w:lvlJc w:val="left"/>
      <w:pPr>
        <w:ind w:left="4320" w:hanging="360"/>
      </w:pPr>
      <w:rPr>
        <w:rFonts w:ascii="Wingdings" w:hAnsi="Wingdings" w:hint="default"/>
      </w:rPr>
    </w:lvl>
    <w:lvl w:ilvl="6" w:tplc="35821550">
      <w:start w:val="1"/>
      <w:numFmt w:val="bullet"/>
      <w:lvlText w:val=""/>
      <w:lvlJc w:val="left"/>
      <w:pPr>
        <w:ind w:left="5040" w:hanging="360"/>
      </w:pPr>
      <w:rPr>
        <w:rFonts w:ascii="Symbol" w:hAnsi="Symbol" w:hint="default"/>
      </w:rPr>
    </w:lvl>
    <w:lvl w:ilvl="7" w:tplc="FECECFA8">
      <w:start w:val="1"/>
      <w:numFmt w:val="bullet"/>
      <w:lvlText w:val="o"/>
      <w:lvlJc w:val="left"/>
      <w:pPr>
        <w:ind w:left="5760" w:hanging="360"/>
      </w:pPr>
      <w:rPr>
        <w:rFonts w:ascii="Courier New" w:hAnsi="Courier New" w:hint="default"/>
      </w:rPr>
    </w:lvl>
    <w:lvl w:ilvl="8" w:tplc="099270F8">
      <w:start w:val="1"/>
      <w:numFmt w:val="bullet"/>
      <w:lvlText w:val=""/>
      <w:lvlJc w:val="left"/>
      <w:pPr>
        <w:ind w:left="6480" w:hanging="360"/>
      </w:pPr>
      <w:rPr>
        <w:rFonts w:ascii="Wingdings" w:hAnsi="Wingdings" w:hint="default"/>
      </w:rPr>
    </w:lvl>
  </w:abstractNum>
  <w:abstractNum w:abstractNumId="20" w15:restartNumberingAfterBreak="0">
    <w:nsid w:val="2D012BA1"/>
    <w:multiLevelType w:val="multilevel"/>
    <w:tmpl w:val="E5489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E535D3B"/>
    <w:multiLevelType w:val="hybridMultilevel"/>
    <w:tmpl w:val="D7EE7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727CF4"/>
    <w:multiLevelType w:val="multilevel"/>
    <w:tmpl w:val="F5D0B1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F2B35D8"/>
    <w:multiLevelType w:val="multilevel"/>
    <w:tmpl w:val="BE8EE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F7732EE"/>
    <w:multiLevelType w:val="multilevel"/>
    <w:tmpl w:val="48AC44D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F8249D6"/>
    <w:multiLevelType w:val="hybridMultilevel"/>
    <w:tmpl w:val="B846F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F926BA"/>
    <w:multiLevelType w:val="multilevel"/>
    <w:tmpl w:val="E5BAA5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09B7207"/>
    <w:multiLevelType w:val="hybridMultilevel"/>
    <w:tmpl w:val="FFFFFFFF"/>
    <w:lvl w:ilvl="0" w:tplc="B12467C2">
      <w:start w:val="1"/>
      <w:numFmt w:val="decimal"/>
      <w:lvlText w:val="%1."/>
      <w:lvlJc w:val="left"/>
      <w:pPr>
        <w:ind w:left="720" w:hanging="360"/>
      </w:pPr>
    </w:lvl>
    <w:lvl w:ilvl="1" w:tplc="02DE7416">
      <w:start w:val="1"/>
      <w:numFmt w:val="lowerLetter"/>
      <w:lvlText w:val="%2."/>
      <w:lvlJc w:val="left"/>
      <w:pPr>
        <w:ind w:left="1440" w:hanging="360"/>
      </w:pPr>
    </w:lvl>
    <w:lvl w:ilvl="2" w:tplc="01206BD8">
      <w:start w:val="1"/>
      <w:numFmt w:val="lowerRoman"/>
      <w:lvlText w:val="%3."/>
      <w:lvlJc w:val="right"/>
      <w:pPr>
        <w:ind w:left="2160" w:hanging="180"/>
      </w:pPr>
    </w:lvl>
    <w:lvl w:ilvl="3" w:tplc="BBB0CB90">
      <w:start w:val="1"/>
      <w:numFmt w:val="decimal"/>
      <w:lvlText w:val="%4."/>
      <w:lvlJc w:val="left"/>
      <w:pPr>
        <w:ind w:left="2880" w:hanging="360"/>
      </w:pPr>
    </w:lvl>
    <w:lvl w:ilvl="4" w:tplc="F574EF5E">
      <w:start w:val="1"/>
      <w:numFmt w:val="lowerLetter"/>
      <w:lvlText w:val="%5."/>
      <w:lvlJc w:val="left"/>
      <w:pPr>
        <w:ind w:left="3600" w:hanging="360"/>
      </w:pPr>
    </w:lvl>
    <w:lvl w:ilvl="5" w:tplc="6CD2239A">
      <w:start w:val="1"/>
      <w:numFmt w:val="lowerRoman"/>
      <w:lvlText w:val="%6."/>
      <w:lvlJc w:val="right"/>
      <w:pPr>
        <w:ind w:left="4320" w:hanging="180"/>
      </w:pPr>
    </w:lvl>
    <w:lvl w:ilvl="6" w:tplc="34585CE0">
      <w:start w:val="1"/>
      <w:numFmt w:val="decimal"/>
      <w:lvlText w:val="%7."/>
      <w:lvlJc w:val="left"/>
      <w:pPr>
        <w:ind w:left="5040" w:hanging="360"/>
      </w:pPr>
    </w:lvl>
    <w:lvl w:ilvl="7" w:tplc="8DF6A15C">
      <w:start w:val="1"/>
      <w:numFmt w:val="lowerLetter"/>
      <w:lvlText w:val="%8."/>
      <w:lvlJc w:val="left"/>
      <w:pPr>
        <w:ind w:left="5760" w:hanging="360"/>
      </w:pPr>
    </w:lvl>
    <w:lvl w:ilvl="8" w:tplc="BDC24FF4">
      <w:start w:val="1"/>
      <w:numFmt w:val="lowerRoman"/>
      <w:lvlText w:val="%9."/>
      <w:lvlJc w:val="right"/>
      <w:pPr>
        <w:ind w:left="6480" w:hanging="180"/>
      </w:pPr>
    </w:lvl>
  </w:abstractNum>
  <w:abstractNum w:abstractNumId="28" w15:restartNumberingAfterBreak="0">
    <w:nsid w:val="31EE4133"/>
    <w:multiLevelType w:val="multilevel"/>
    <w:tmpl w:val="287A40EC"/>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32EE21A6"/>
    <w:multiLevelType w:val="multilevel"/>
    <w:tmpl w:val="35849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5C45393"/>
    <w:multiLevelType w:val="multilevel"/>
    <w:tmpl w:val="08C610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A330284"/>
    <w:multiLevelType w:val="multilevel"/>
    <w:tmpl w:val="6EAC4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B3D5DEC"/>
    <w:multiLevelType w:val="multilevel"/>
    <w:tmpl w:val="CCD0FC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C0D7EEA"/>
    <w:multiLevelType w:val="multilevel"/>
    <w:tmpl w:val="396A1500"/>
    <w:lvl w:ilvl="0">
      <w:start w:val="1"/>
      <w:numFmt w:val="bullet"/>
      <w:lvlText w:val="o"/>
      <w:lvlJc w:val="left"/>
      <w:pPr>
        <w:tabs>
          <w:tab w:val="num" w:pos="720"/>
        </w:tabs>
        <w:ind w:left="720" w:hanging="360"/>
      </w:pPr>
      <w:rPr>
        <w:rFonts w:ascii="Courier New" w:hAnsi="Courier New"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34" w15:restartNumberingAfterBreak="0">
    <w:nsid w:val="3C9158E2"/>
    <w:multiLevelType w:val="multilevel"/>
    <w:tmpl w:val="60029A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791744"/>
    <w:multiLevelType w:val="hybridMultilevel"/>
    <w:tmpl w:val="A2C61D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0CF0097"/>
    <w:multiLevelType w:val="hybridMultilevel"/>
    <w:tmpl w:val="FFFFFFFF"/>
    <w:lvl w:ilvl="0" w:tplc="8D6ABA10">
      <w:start w:val="1"/>
      <w:numFmt w:val="bullet"/>
      <w:lvlText w:val=""/>
      <w:lvlJc w:val="left"/>
      <w:pPr>
        <w:ind w:left="720" w:hanging="360"/>
      </w:pPr>
      <w:rPr>
        <w:rFonts w:ascii="Symbol" w:hAnsi="Symbol" w:hint="default"/>
      </w:rPr>
    </w:lvl>
    <w:lvl w:ilvl="1" w:tplc="8EA619A8">
      <w:start w:val="1"/>
      <w:numFmt w:val="bullet"/>
      <w:lvlText w:val="o"/>
      <w:lvlJc w:val="left"/>
      <w:pPr>
        <w:ind w:left="1440" w:hanging="360"/>
      </w:pPr>
      <w:rPr>
        <w:rFonts w:ascii="Courier New" w:hAnsi="Courier New" w:hint="default"/>
      </w:rPr>
    </w:lvl>
    <w:lvl w:ilvl="2" w:tplc="BBBA6FFA">
      <w:start w:val="1"/>
      <w:numFmt w:val="bullet"/>
      <w:lvlText w:val=""/>
      <w:lvlJc w:val="left"/>
      <w:pPr>
        <w:ind w:left="2160" w:hanging="360"/>
      </w:pPr>
      <w:rPr>
        <w:rFonts w:ascii="Wingdings" w:hAnsi="Wingdings" w:hint="default"/>
      </w:rPr>
    </w:lvl>
    <w:lvl w:ilvl="3" w:tplc="30D4855A">
      <w:start w:val="1"/>
      <w:numFmt w:val="bullet"/>
      <w:lvlText w:val=""/>
      <w:lvlJc w:val="left"/>
      <w:pPr>
        <w:ind w:left="2880" w:hanging="360"/>
      </w:pPr>
      <w:rPr>
        <w:rFonts w:ascii="Symbol" w:hAnsi="Symbol" w:hint="default"/>
      </w:rPr>
    </w:lvl>
    <w:lvl w:ilvl="4" w:tplc="408EE26A">
      <w:start w:val="1"/>
      <w:numFmt w:val="bullet"/>
      <w:lvlText w:val="o"/>
      <w:lvlJc w:val="left"/>
      <w:pPr>
        <w:ind w:left="3600" w:hanging="360"/>
      </w:pPr>
      <w:rPr>
        <w:rFonts w:ascii="Courier New" w:hAnsi="Courier New" w:hint="default"/>
      </w:rPr>
    </w:lvl>
    <w:lvl w:ilvl="5" w:tplc="7D1ACA34">
      <w:start w:val="1"/>
      <w:numFmt w:val="bullet"/>
      <w:lvlText w:val=""/>
      <w:lvlJc w:val="left"/>
      <w:pPr>
        <w:ind w:left="4320" w:hanging="360"/>
      </w:pPr>
      <w:rPr>
        <w:rFonts w:ascii="Wingdings" w:hAnsi="Wingdings" w:hint="default"/>
      </w:rPr>
    </w:lvl>
    <w:lvl w:ilvl="6" w:tplc="E3EEB68A">
      <w:start w:val="1"/>
      <w:numFmt w:val="bullet"/>
      <w:lvlText w:val=""/>
      <w:lvlJc w:val="left"/>
      <w:pPr>
        <w:ind w:left="5040" w:hanging="360"/>
      </w:pPr>
      <w:rPr>
        <w:rFonts w:ascii="Symbol" w:hAnsi="Symbol" w:hint="default"/>
      </w:rPr>
    </w:lvl>
    <w:lvl w:ilvl="7" w:tplc="3DA8BA42">
      <w:start w:val="1"/>
      <w:numFmt w:val="bullet"/>
      <w:lvlText w:val="o"/>
      <w:lvlJc w:val="left"/>
      <w:pPr>
        <w:ind w:left="5760" w:hanging="360"/>
      </w:pPr>
      <w:rPr>
        <w:rFonts w:ascii="Courier New" w:hAnsi="Courier New" w:hint="default"/>
      </w:rPr>
    </w:lvl>
    <w:lvl w:ilvl="8" w:tplc="17DA5252">
      <w:start w:val="1"/>
      <w:numFmt w:val="bullet"/>
      <w:lvlText w:val=""/>
      <w:lvlJc w:val="left"/>
      <w:pPr>
        <w:ind w:left="6480" w:hanging="360"/>
      </w:pPr>
      <w:rPr>
        <w:rFonts w:ascii="Wingdings" w:hAnsi="Wingdings" w:hint="default"/>
      </w:rPr>
    </w:lvl>
  </w:abstractNum>
  <w:abstractNum w:abstractNumId="37" w15:restartNumberingAfterBreak="0">
    <w:nsid w:val="423D5101"/>
    <w:multiLevelType w:val="multilevel"/>
    <w:tmpl w:val="A3846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2841AA"/>
    <w:multiLevelType w:val="hybridMultilevel"/>
    <w:tmpl w:val="C4D0F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C2858A3"/>
    <w:multiLevelType w:val="hybridMultilevel"/>
    <w:tmpl w:val="59A0D71C"/>
    <w:lvl w:ilvl="0" w:tplc="6EB69728">
      <w:start w:val="1"/>
      <w:numFmt w:val="decimal"/>
      <w:lvlText w:val="%1."/>
      <w:lvlJc w:val="left"/>
      <w:pPr>
        <w:ind w:left="1080" w:hanging="360"/>
      </w:pPr>
      <w:rPr>
        <w:rFonts w:eastAsiaTheme="minorHAnsi" w:hint="default"/>
        <w:b w:val="0"/>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CD67DA1"/>
    <w:multiLevelType w:val="multilevel"/>
    <w:tmpl w:val="BAE43E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E0978F0"/>
    <w:multiLevelType w:val="hybridMultilevel"/>
    <w:tmpl w:val="AEE29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8901A5"/>
    <w:multiLevelType w:val="hybridMultilevel"/>
    <w:tmpl w:val="A90E2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0405F46"/>
    <w:multiLevelType w:val="multilevel"/>
    <w:tmpl w:val="71ECF39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50725ABE"/>
    <w:multiLevelType w:val="hybridMultilevel"/>
    <w:tmpl w:val="0418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19C261B"/>
    <w:multiLevelType w:val="hybridMultilevel"/>
    <w:tmpl w:val="789A4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C77571"/>
    <w:multiLevelType w:val="multilevel"/>
    <w:tmpl w:val="65A03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534C5B3F"/>
    <w:multiLevelType w:val="multilevel"/>
    <w:tmpl w:val="A1269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556A0453"/>
    <w:multiLevelType w:val="hybridMultilevel"/>
    <w:tmpl w:val="C7DCE06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15:restartNumberingAfterBreak="0">
    <w:nsid w:val="56F54567"/>
    <w:multiLevelType w:val="multilevel"/>
    <w:tmpl w:val="99C21E8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0" w15:restartNumberingAfterBreak="0">
    <w:nsid w:val="5A757465"/>
    <w:multiLevelType w:val="hybridMultilevel"/>
    <w:tmpl w:val="FFFFFFFF"/>
    <w:lvl w:ilvl="0" w:tplc="12CC7650">
      <w:start w:val="1"/>
      <w:numFmt w:val="decimal"/>
      <w:lvlText w:val="%1."/>
      <w:lvlJc w:val="left"/>
      <w:pPr>
        <w:ind w:left="720" w:hanging="360"/>
      </w:pPr>
    </w:lvl>
    <w:lvl w:ilvl="1" w:tplc="5D9CB1C2">
      <w:start w:val="1"/>
      <w:numFmt w:val="bullet"/>
      <w:lvlText w:val=""/>
      <w:lvlJc w:val="left"/>
      <w:pPr>
        <w:ind w:left="1440" w:hanging="360"/>
      </w:pPr>
      <w:rPr>
        <w:rFonts w:ascii="Symbol" w:hAnsi="Symbol" w:hint="default"/>
      </w:rPr>
    </w:lvl>
    <w:lvl w:ilvl="2" w:tplc="0AE8A640">
      <w:start w:val="1"/>
      <w:numFmt w:val="lowerRoman"/>
      <w:lvlText w:val="%3."/>
      <w:lvlJc w:val="right"/>
      <w:pPr>
        <w:ind w:left="2160" w:hanging="180"/>
      </w:pPr>
    </w:lvl>
    <w:lvl w:ilvl="3" w:tplc="56487FDA">
      <w:start w:val="1"/>
      <w:numFmt w:val="decimal"/>
      <w:lvlText w:val="%4."/>
      <w:lvlJc w:val="left"/>
      <w:pPr>
        <w:ind w:left="2880" w:hanging="360"/>
      </w:pPr>
    </w:lvl>
    <w:lvl w:ilvl="4" w:tplc="571E79A8">
      <w:start w:val="1"/>
      <w:numFmt w:val="lowerLetter"/>
      <w:lvlText w:val="%5."/>
      <w:lvlJc w:val="left"/>
      <w:pPr>
        <w:ind w:left="3600" w:hanging="360"/>
      </w:pPr>
    </w:lvl>
    <w:lvl w:ilvl="5" w:tplc="B9E401D8">
      <w:start w:val="1"/>
      <w:numFmt w:val="lowerRoman"/>
      <w:lvlText w:val="%6."/>
      <w:lvlJc w:val="right"/>
      <w:pPr>
        <w:ind w:left="4320" w:hanging="180"/>
      </w:pPr>
    </w:lvl>
    <w:lvl w:ilvl="6" w:tplc="12A0DC6E">
      <w:start w:val="1"/>
      <w:numFmt w:val="decimal"/>
      <w:lvlText w:val="%7."/>
      <w:lvlJc w:val="left"/>
      <w:pPr>
        <w:ind w:left="5040" w:hanging="360"/>
      </w:pPr>
    </w:lvl>
    <w:lvl w:ilvl="7" w:tplc="139C85E8">
      <w:start w:val="1"/>
      <w:numFmt w:val="lowerLetter"/>
      <w:lvlText w:val="%8."/>
      <w:lvlJc w:val="left"/>
      <w:pPr>
        <w:ind w:left="5760" w:hanging="360"/>
      </w:pPr>
    </w:lvl>
    <w:lvl w:ilvl="8" w:tplc="74F66A96">
      <w:start w:val="1"/>
      <w:numFmt w:val="lowerRoman"/>
      <w:lvlText w:val="%9."/>
      <w:lvlJc w:val="right"/>
      <w:pPr>
        <w:ind w:left="6480" w:hanging="180"/>
      </w:pPr>
    </w:lvl>
  </w:abstractNum>
  <w:abstractNum w:abstractNumId="51" w15:restartNumberingAfterBreak="0">
    <w:nsid w:val="5D945054"/>
    <w:multiLevelType w:val="multilevel"/>
    <w:tmpl w:val="F4060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DBE7D17"/>
    <w:multiLevelType w:val="hybridMultilevel"/>
    <w:tmpl w:val="FFFFFFFF"/>
    <w:lvl w:ilvl="0" w:tplc="79869B0E">
      <w:start w:val="1"/>
      <w:numFmt w:val="bullet"/>
      <w:lvlText w:val=""/>
      <w:lvlJc w:val="left"/>
      <w:pPr>
        <w:ind w:left="720" w:hanging="360"/>
      </w:pPr>
      <w:rPr>
        <w:rFonts w:ascii="Symbol" w:hAnsi="Symbol" w:hint="default"/>
      </w:rPr>
    </w:lvl>
    <w:lvl w:ilvl="1" w:tplc="00A86A60">
      <w:start w:val="1"/>
      <w:numFmt w:val="bullet"/>
      <w:lvlText w:val="o"/>
      <w:lvlJc w:val="left"/>
      <w:pPr>
        <w:ind w:left="1440" w:hanging="360"/>
      </w:pPr>
      <w:rPr>
        <w:rFonts w:ascii="Courier New" w:hAnsi="Courier New" w:hint="default"/>
      </w:rPr>
    </w:lvl>
    <w:lvl w:ilvl="2" w:tplc="71A8B658">
      <w:start w:val="1"/>
      <w:numFmt w:val="bullet"/>
      <w:lvlText w:val=""/>
      <w:lvlJc w:val="left"/>
      <w:pPr>
        <w:ind w:left="2160" w:hanging="360"/>
      </w:pPr>
      <w:rPr>
        <w:rFonts w:ascii="Wingdings" w:hAnsi="Wingdings" w:hint="default"/>
      </w:rPr>
    </w:lvl>
    <w:lvl w:ilvl="3" w:tplc="D45A1986">
      <w:start w:val="1"/>
      <w:numFmt w:val="bullet"/>
      <w:lvlText w:val=""/>
      <w:lvlJc w:val="left"/>
      <w:pPr>
        <w:ind w:left="2880" w:hanging="360"/>
      </w:pPr>
      <w:rPr>
        <w:rFonts w:ascii="Symbol" w:hAnsi="Symbol" w:hint="default"/>
      </w:rPr>
    </w:lvl>
    <w:lvl w:ilvl="4" w:tplc="94A4C8D0">
      <w:start w:val="1"/>
      <w:numFmt w:val="bullet"/>
      <w:lvlText w:val="o"/>
      <w:lvlJc w:val="left"/>
      <w:pPr>
        <w:ind w:left="3600" w:hanging="360"/>
      </w:pPr>
      <w:rPr>
        <w:rFonts w:ascii="Courier New" w:hAnsi="Courier New" w:hint="default"/>
      </w:rPr>
    </w:lvl>
    <w:lvl w:ilvl="5" w:tplc="825A538A">
      <w:start w:val="1"/>
      <w:numFmt w:val="bullet"/>
      <w:lvlText w:val=""/>
      <w:lvlJc w:val="left"/>
      <w:pPr>
        <w:ind w:left="4320" w:hanging="360"/>
      </w:pPr>
      <w:rPr>
        <w:rFonts w:ascii="Wingdings" w:hAnsi="Wingdings" w:hint="default"/>
      </w:rPr>
    </w:lvl>
    <w:lvl w:ilvl="6" w:tplc="6B32EAB2">
      <w:start w:val="1"/>
      <w:numFmt w:val="bullet"/>
      <w:lvlText w:val=""/>
      <w:lvlJc w:val="left"/>
      <w:pPr>
        <w:ind w:left="5040" w:hanging="360"/>
      </w:pPr>
      <w:rPr>
        <w:rFonts w:ascii="Symbol" w:hAnsi="Symbol" w:hint="default"/>
      </w:rPr>
    </w:lvl>
    <w:lvl w:ilvl="7" w:tplc="3ABA7968">
      <w:start w:val="1"/>
      <w:numFmt w:val="bullet"/>
      <w:lvlText w:val="o"/>
      <w:lvlJc w:val="left"/>
      <w:pPr>
        <w:ind w:left="5760" w:hanging="360"/>
      </w:pPr>
      <w:rPr>
        <w:rFonts w:ascii="Courier New" w:hAnsi="Courier New" w:hint="default"/>
      </w:rPr>
    </w:lvl>
    <w:lvl w:ilvl="8" w:tplc="22904ECC">
      <w:start w:val="1"/>
      <w:numFmt w:val="bullet"/>
      <w:lvlText w:val=""/>
      <w:lvlJc w:val="left"/>
      <w:pPr>
        <w:ind w:left="6480" w:hanging="360"/>
      </w:pPr>
      <w:rPr>
        <w:rFonts w:ascii="Wingdings" w:hAnsi="Wingdings" w:hint="default"/>
      </w:rPr>
    </w:lvl>
  </w:abstractNum>
  <w:abstractNum w:abstractNumId="53" w15:restartNumberingAfterBreak="0">
    <w:nsid w:val="60D75ED7"/>
    <w:multiLevelType w:val="hybridMultilevel"/>
    <w:tmpl w:val="4680F24E"/>
    <w:lvl w:ilvl="0" w:tplc="52C83954">
      <w:start w:val="1"/>
      <w:numFmt w:val="bullet"/>
      <w:lvlText w:val=""/>
      <w:lvlJc w:val="left"/>
      <w:pPr>
        <w:ind w:left="720" w:hanging="360"/>
      </w:pPr>
      <w:rPr>
        <w:rFonts w:ascii="Symbol" w:hAnsi="Symbol" w:hint="default"/>
      </w:rPr>
    </w:lvl>
    <w:lvl w:ilvl="1" w:tplc="AA3A1096">
      <w:start w:val="1"/>
      <w:numFmt w:val="bullet"/>
      <w:lvlText w:val=""/>
      <w:lvlJc w:val="left"/>
      <w:pPr>
        <w:ind w:left="1440" w:hanging="360"/>
      </w:pPr>
      <w:rPr>
        <w:rFonts w:ascii="Symbol" w:hAnsi="Symbol" w:hint="default"/>
      </w:rPr>
    </w:lvl>
    <w:lvl w:ilvl="2" w:tplc="8F0078C8">
      <w:start w:val="1"/>
      <w:numFmt w:val="bullet"/>
      <w:lvlText w:val=""/>
      <w:lvlJc w:val="left"/>
      <w:pPr>
        <w:ind w:left="2160" w:hanging="360"/>
      </w:pPr>
      <w:rPr>
        <w:rFonts w:ascii="Wingdings" w:hAnsi="Wingdings" w:hint="default"/>
      </w:rPr>
    </w:lvl>
    <w:lvl w:ilvl="3" w:tplc="36C2401C">
      <w:start w:val="1"/>
      <w:numFmt w:val="bullet"/>
      <w:lvlText w:val=""/>
      <w:lvlJc w:val="left"/>
      <w:pPr>
        <w:ind w:left="2880" w:hanging="360"/>
      </w:pPr>
      <w:rPr>
        <w:rFonts w:ascii="Symbol" w:hAnsi="Symbol" w:hint="default"/>
      </w:rPr>
    </w:lvl>
    <w:lvl w:ilvl="4" w:tplc="E9DAF7EC">
      <w:start w:val="1"/>
      <w:numFmt w:val="bullet"/>
      <w:lvlText w:val="o"/>
      <w:lvlJc w:val="left"/>
      <w:pPr>
        <w:ind w:left="3600" w:hanging="360"/>
      </w:pPr>
      <w:rPr>
        <w:rFonts w:ascii="Courier New" w:hAnsi="Courier New" w:hint="default"/>
      </w:rPr>
    </w:lvl>
    <w:lvl w:ilvl="5" w:tplc="E2AA362A">
      <w:start w:val="1"/>
      <w:numFmt w:val="bullet"/>
      <w:lvlText w:val=""/>
      <w:lvlJc w:val="left"/>
      <w:pPr>
        <w:ind w:left="4320" w:hanging="360"/>
      </w:pPr>
      <w:rPr>
        <w:rFonts w:ascii="Wingdings" w:hAnsi="Wingdings" w:hint="default"/>
      </w:rPr>
    </w:lvl>
    <w:lvl w:ilvl="6" w:tplc="3D8A309C">
      <w:start w:val="1"/>
      <w:numFmt w:val="bullet"/>
      <w:lvlText w:val=""/>
      <w:lvlJc w:val="left"/>
      <w:pPr>
        <w:ind w:left="5040" w:hanging="360"/>
      </w:pPr>
      <w:rPr>
        <w:rFonts w:ascii="Symbol" w:hAnsi="Symbol" w:hint="default"/>
      </w:rPr>
    </w:lvl>
    <w:lvl w:ilvl="7" w:tplc="43EC3BCE">
      <w:start w:val="1"/>
      <w:numFmt w:val="bullet"/>
      <w:lvlText w:val="o"/>
      <w:lvlJc w:val="left"/>
      <w:pPr>
        <w:ind w:left="5760" w:hanging="360"/>
      </w:pPr>
      <w:rPr>
        <w:rFonts w:ascii="Courier New" w:hAnsi="Courier New" w:hint="default"/>
      </w:rPr>
    </w:lvl>
    <w:lvl w:ilvl="8" w:tplc="B7CC9808">
      <w:start w:val="1"/>
      <w:numFmt w:val="bullet"/>
      <w:lvlText w:val=""/>
      <w:lvlJc w:val="left"/>
      <w:pPr>
        <w:ind w:left="6480" w:hanging="360"/>
      </w:pPr>
      <w:rPr>
        <w:rFonts w:ascii="Wingdings" w:hAnsi="Wingdings" w:hint="default"/>
      </w:rPr>
    </w:lvl>
  </w:abstractNum>
  <w:abstractNum w:abstractNumId="54" w15:restartNumberingAfterBreak="0">
    <w:nsid w:val="62592AEB"/>
    <w:multiLevelType w:val="hybridMultilevel"/>
    <w:tmpl w:val="577C8ADA"/>
    <w:lvl w:ilvl="0" w:tplc="30F45BEE">
      <w:start w:val="1"/>
      <w:numFmt w:val="bullet"/>
      <w:lvlText w:val=""/>
      <w:lvlJc w:val="left"/>
      <w:pPr>
        <w:ind w:left="720" w:hanging="360"/>
      </w:pPr>
      <w:rPr>
        <w:rFonts w:ascii="Symbol" w:hAnsi="Symbol" w:hint="default"/>
      </w:rPr>
    </w:lvl>
    <w:lvl w:ilvl="1" w:tplc="2DAC9704">
      <w:start w:val="1"/>
      <w:numFmt w:val="bullet"/>
      <w:lvlText w:val="o"/>
      <w:lvlJc w:val="left"/>
      <w:pPr>
        <w:ind w:left="1440" w:hanging="360"/>
      </w:pPr>
      <w:rPr>
        <w:rFonts w:ascii="Courier New" w:hAnsi="Courier New" w:hint="default"/>
      </w:rPr>
    </w:lvl>
    <w:lvl w:ilvl="2" w:tplc="F5963EAE">
      <w:start w:val="1"/>
      <w:numFmt w:val="bullet"/>
      <w:lvlText w:val=""/>
      <w:lvlJc w:val="left"/>
      <w:pPr>
        <w:ind w:left="2160" w:hanging="360"/>
      </w:pPr>
      <w:rPr>
        <w:rFonts w:ascii="Wingdings" w:hAnsi="Wingdings" w:hint="default"/>
      </w:rPr>
    </w:lvl>
    <w:lvl w:ilvl="3" w:tplc="2DAC84D2">
      <w:start w:val="1"/>
      <w:numFmt w:val="bullet"/>
      <w:lvlText w:val=""/>
      <w:lvlJc w:val="left"/>
      <w:pPr>
        <w:ind w:left="2880" w:hanging="360"/>
      </w:pPr>
      <w:rPr>
        <w:rFonts w:ascii="Symbol" w:hAnsi="Symbol" w:hint="default"/>
      </w:rPr>
    </w:lvl>
    <w:lvl w:ilvl="4" w:tplc="ED7AF204">
      <w:start w:val="1"/>
      <w:numFmt w:val="bullet"/>
      <w:lvlText w:val="o"/>
      <w:lvlJc w:val="left"/>
      <w:pPr>
        <w:ind w:left="3600" w:hanging="360"/>
      </w:pPr>
      <w:rPr>
        <w:rFonts w:ascii="Courier New" w:hAnsi="Courier New" w:hint="default"/>
      </w:rPr>
    </w:lvl>
    <w:lvl w:ilvl="5" w:tplc="4268DA68">
      <w:start w:val="1"/>
      <w:numFmt w:val="bullet"/>
      <w:lvlText w:val=""/>
      <w:lvlJc w:val="left"/>
      <w:pPr>
        <w:ind w:left="4320" w:hanging="360"/>
      </w:pPr>
      <w:rPr>
        <w:rFonts w:ascii="Wingdings" w:hAnsi="Wingdings" w:hint="default"/>
      </w:rPr>
    </w:lvl>
    <w:lvl w:ilvl="6" w:tplc="68A0469E">
      <w:start w:val="1"/>
      <w:numFmt w:val="bullet"/>
      <w:lvlText w:val=""/>
      <w:lvlJc w:val="left"/>
      <w:pPr>
        <w:ind w:left="5040" w:hanging="360"/>
      </w:pPr>
      <w:rPr>
        <w:rFonts w:ascii="Symbol" w:hAnsi="Symbol" w:hint="default"/>
      </w:rPr>
    </w:lvl>
    <w:lvl w:ilvl="7" w:tplc="ADA074E2">
      <w:start w:val="1"/>
      <w:numFmt w:val="bullet"/>
      <w:lvlText w:val="o"/>
      <w:lvlJc w:val="left"/>
      <w:pPr>
        <w:ind w:left="5760" w:hanging="360"/>
      </w:pPr>
      <w:rPr>
        <w:rFonts w:ascii="Courier New" w:hAnsi="Courier New" w:hint="default"/>
      </w:rPr>
    </w:lvl>
    <w:lvl w:ilvl="8" w:tplc="A202BE0A">
      <w:start w:val="1"/>
      <w:numFmt w:val="bullet"/>
      <w:lvlText w:val=""/>
      <w:lvlJc w:val="left"/>
      <w:pPr>
        <w:ind w:left="6480" w:hanging="360"/>
      </w:pPr>
      <w:rPr>
        <w:rFonts w:ascii="Wingdings" w:hAnsi="Wingdings" w:hint="default"/>
      </w:rPr>
    </w:lvl>
  </w:abstractNum>
  <w:abstractNum w:abstractNumId="55" w15:restartNumberingAfterBreak="0">
    <w:nsid w:val="62E36F39"/>
    <w:multiLevelType w:val="hybridMultilevel"/>
    <w:tmpl w:val="2FD8F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8D1575"/>
    <w:multiLevelType w:val="multilevel"/>
    <w:tmpl w:val="A9AE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59A1B4E"/>
    <w:multiLevelType w:val="multilevel"/>
    <w:tmpl w:val="52F04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66D6749B"/>
    <w:multiLevelType w:val="multilevel"/>
    <w:tmpl w:val="696271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7FF73F5"/>
    <w:multiLevelType w:val="hybridMultilevel"/>
    <w:tmpl w:val="A328C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2B0FB1"/>
    <w:multiLevelType w:val="multilevel"/>
    <w:tmpl w:val="432C77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946656A"/>
    <w:multiLevelType w:val="hybridMultilevel"/>
    <w:tmpl w:val="FFFFFFFF"/>
    <w:lvl w:ilvl="0" w:tplc="CC128C2C">
      <w:start w:val="1"/>
      <w:numFmt w:val="bullet"/>
      <w:lvlText w:val=""/>
      <w:lvlJc w:val="left"/>
      <w:pPr>
        <w:ind w:left="720" w:hanging="360"/>
      </w:pPr>
      <w:rPr>
        <w:rFonts w:ascii="Symbol" w:hAnsi="Symbol" w:hint="default"/>
      </w:rPr>
    </w:lvl>
    <w:lvl w:ilvl="1" w:tplc="FEBC132C">
      <w:start w:val="1"/>
      <w:numFmt w:val="bullet"/>
      <w:lvlText w:val="o"/>
      <w:lvlJc w:val="left"/>
      <w:pPr>
        <w:ind w:left="1440" w:hanging="360"/>
      </w:pPr>
      <w:rPr>
        <w:rFonts w:ascii="Courier New" w:hAnsi="Courier New" w:hint="default"/>
      </w:rPr>
    </w:lvl>
    <w:lvl w:ilvl="2" w:tplc="FC2A9A38">
      <w:start w:val="1"/>
      <w:numFmt w:val="bullet"/>
      <w:lvlText w:val=""/>
      <w:lvlJc w:val="left"/>
      <w:pPr>
        <w:ind w:left="2160" w:hanging="360"/>
      </w:pPr>
      <w:rPr>
        <w:rFonts w:ascii="Wingdings" w:hAnsi="Wingdings" w:hint="default"/>
      </w:rPr>
    </w:lvl>
    <w:lvl w:ilvl="3" w:tplc="CCC8C528">
      <w:start w:val="1"/>
      <w:numFmt w:val="bullet"/>
      <w:lvlText w:val=""/>
      <w:lvlJc w:val="left"/>
      <w:pPr>
        <w:ind w:left="2880" w:hanging="360"/>
      </w:pPr>
      <w:rPr>
        <w:rFonts w:ascii="Symbol" w:hAnsi="Symbol" w:hint="default"/>
      </w:rPr>
    </w:lvl>
    <w:lvl w:ilvl="4" w:tplc="2870C7BA">
      <w:start w:val="1"/>
      <w:numFmt w:val="bullet"/>
      <w:lvlText w:val="o"/>
      <w:lvlJc w:val="left"/>
      <w:pPr>
        <w:ind w:left="3600" w:hanging="360"/>
      </w:pPr>
      <w:rPr>
        <w:rFonts w:ascii="Courier New" w:hAnsi="Courier New" w:hint="default"/>
      </w:rPr>
    </w:lvl>
    <w:lvl w:ilvl="5" w:tplc="BFBC2EFA">
      <w:start w:val="1"/>
      <w:numFmt w:val="bullet"/>
      <w:lvlText w:val=""/>
      <w:lvlJc w:val="left"/>
      <w:pPr>
        <w:ind w:left="4320" w:hanging="360"/>
      </w:pPr>
      <w:rPr>
        <w:rFonts w:ascii="Wingdings" w:hAnsi="Wingdings" w:hint="default"/>
      </w:rPr>
    </w:lvl>
    <w:lvl w:ilvl="6" w:tplc="A2589CEC">
      <w:start w:val="1"/>
      <w:numFmt w:val="bullet"/>
      <w:lvlText w:val=""/>
      <w:lvlJc w:val="left"/>
      <w:pPr>
        <w:ind w:left="5040" w:hanging="360"/>
      </w:pPr>
      <w:rPr>
        <w:rFonts w:ascii="Symbol" w:hAnsi="Symbol" w:hint="default"/>
      </w:rPr>
    </w:lvl>
    <w:lvl w:ilvl="7" w:tplc="979A764C">
      <w:start w:val="1"/>
      <w:numFmt w:val="bullet"/>
      <w:lvlText w:val="o"/>
      <w:lvlJc w:val="left"/>
      <w:pPr>
        <w:ind w:left="5760" w:hanging="360"/>
      </w:pPr>
      <w:rPr>
        <w:rFonts w:ascii="Courier New" w:hAnsi="Courier New" w:hint="default"/>
      </w:rPr>
    </w:lvl>
    <w:lvl w:ilvl="8" w:tplc="C0DE99F0">
      <w:start w:val="1"/>
      <w:numFmt w:val="bullet"/>
      <w:lvlText w:val=""/>
      <w:lvlJc w:val="left"/>
      <w:pPr>
        <w:ind w:left="6480" w:hanging="360"/>
      </w:pPr>
      <w:rPr>
        <w:rFonts w:ascii="Wingdings" w:hAnsi="Wingdings" w:hint="default"/>
      </w:rPr>
    </w:lvl>
  </w:abstractNum>
  <w:abstractNum w:abstractNumId="62" w15:restartNumberingAfterBreak="0">
    <w:nsid w:val="6A806D8C"/>
    <w:multiLevelType w:val="hybridMultilevel"/>
    <w:tmpl w:val="96F81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050C97"/>
    <w:multiLevelType w:val="multilevel"/>
    <w:tmpl w:val="3CD4F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725B6AE3"/>
    <w:multiLevelType w:val="multilevel"/>
    <w:tmpl w:val="96DA9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2B85158"/>
    <w:multiLevelType w:val="multilevel"/>
    <w:tmpl w:val="B68EE3B8"/>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6" w15:restartNumberingAfterBreak="0">
    <w:nsid w:val="73611863"/>
    <w:multiLevelType w:val="hybridMultilevel"/>
    <w:tmpl w:val="FFFFFFFF"/>
    <w:lvl w:ilvl="0" w:tplc="8C4A8DA0">
      <w:start w:val="1"/>
      <w:numFmt w:val="bullet"/>
      <w:lvlText w:val=""/>
      <w:lvlJc w:val="left"/>
      <w:pPr>
        <w:ind w:left="720" w:hanging="360"/>
      </w:pPr>
      <w:rPr>
        <w:rFonts w:ascii="Symbol" w:hAnsi="Symbol" w:hint="default"/>
      </w:rPr>
    </w:lvl>
    <w:lvl w:ilvl="1" w:tplc="BDBED02C">
      <w:start w:val="1"/>
      <w:numFmt w:val="bullet"/>
      <w:lvlText w:val=""/>
      <w:lvlJc w:val="left"/>
      <w:pPr>
        <w:ind w:left="1440" w:hanging="360"/>
      </w:pPr>
      <w:rPr>
        <w:rFonts w:ascii="Symbol" w:hAnsi="Symbol" w:hint="default"/>
      </w:rPr>
    </w:lvl>
    <w:lvl w:ilvl="2" w:tplc="C5421FE8">
      <w:start w:val="1"/>
      <w:numFmt w:val="bullet"/>
      <w:lvlText w:val=""/>
      <w:lvlJc w:val="left"/>
      <w:pPr>
        <w:ind w:left="2160" w:hanging="360"/>
      </w:pPr>
      <w:rPr>
        <w:rFonts w:ascii="Wingdings" w:hAnsi="Wingdings" w:hint="default"/>
      </w:rPr>
    </w:lvl>
    <w:lvl w:ilvl="3" w:tplc="63040852">
      <w:start w:val="1"/>
      <w:numFmt w:val="bullet"/>
      <w:lvlText w:val=""/>
      <w:lvlJc w:val="left"/>
      <w:pPr>
        <w:ind w:left="2880" w:hanging="360"/>
      </w:pPr>
      <w:rPr>
        <w:rFonts w:ascii="Symbol" w:hAnsi="Symbol" w:hint="default"/>
      </w:rPr>
    </w:lvl>
    <w:lvl w:ilvl="4" w:tplc="A27E5112">
      <w:start w:val="1"/>
      <w:numFmt w:val="bullet"/>
      <w:lvlText w:val="o"/>
      <w:lvlJc w:val="left"/>
      <w:pPr>
        <w:ind w:left="3600" w:hanging="360"/>
      </w:pPr>
      <w:rPr>
        <w:rFonts w:ascii="Courier New" w:hAnsi="Courier New" w:hint="default"/>
      </w:rPr>
    </w:lvl>
    <w:lvl w:ilvl="5" w:tplc="B7DE5794">
      <w:start w:val="1"/>
      <w:numFmt w:val="bullet"/>
      <w:lvlText w:val=""/>
      <w:lvlJc w:val="left"/>
      <w:pPr>
        <w:ind w:left="4320" w:hanging="360"/>
      </w:pPr>
      <w:rPr>
        <w:rFonts w:ascii="Wingdings" w:hAnsi="Wingdings" w:hint="default"/>
      </w:rPr>
    </w:lvl>
    <w:lvl w:ilvl="6" w:tplc="3656D066">
      <w:start w:val="1"/>
      <w:numFmt w:val="bullet"/>
      <w:lvlText w:val=""/>
      <w:lvlJc w:val="left"/>
      <w:pPr>
        <w:ind w:left="5040" w:hanging="360"/>
      </w:pPr>
      <w:rPr>
        <w:rFonts w:ascii="Symbol" w:hAnsi="Symbol" w:hint="default"/>
      </w:rPr>
    </w:lvl>
    <w:lvl w:ilvl="7" w:tplc="80E0B3D8">
      <w:start w:val="1"/>
      <w:numFmt w:val="bullet"/>
      <w:lvlText w:val="o"/>
      <w:lvlJc w:val="left"/>
      <w:pPr>
        <w:ind w:left="5760" w:hanging="360"/>
      </w:pPr>
      <w:rPr>
        <w:rFonts w:ascii="Courier New" w:hAnsi="Courier New" w:hint="default"/>
      </w:rPr>
    </w:lvl>
    <w:lvl w:ilvl="8" w:tplc="02280D40">
      <w:start w:val="1"/>
      <w:numFmt w:val="bullet"/>
      <w:lvlText w:val=""/>
      <w:lvlJc w:val="left"/>
      <w:pPr>
        <w:ind w:left="6480" w:hanging="360"/>
      </w:pPr>
      <w:rPr>
        <w:rFonts w:ascii="Wingdings" w:hAnsi="Wingdings" w:hint="default"/>
      </w:rPr>
    </w:lvl>
  </w:abstractNum>
  <w:abstractNum w:abstractNumId="67" w15:restartNumberingAfterBreak="0">
    <w:nsid w:val="78343F86"/>
    <w:multiLevelType w:val="hybridMultilevel"/>
    <w:tmpl w:val="FFFFFFFF"/>
    <w:lvl w:ilvl="0" w:tplc="943E9BBE">
      <w:start w:val="1"/>
      <w:numFmt w:val="bullet"/>
      <w:lvlText w:val=""/>
      <w:lvlJc w:val="left"/>
      <w:pPr>
        <w:ind w:left="720" w:hanging="360"/>
      </w:pPr>
      <w:rPr>
        <w:rFonts w:ascii="Symbol" w:hAnsi="Symbol" w:hint="default"/>
      </w:rPr>
    </w:lvl>
    <w:lvl w:ilvl="1" w:tplc="610C744C">
      <w:start w:val="1"/>
      <w:numFmt w:val="bullet"/>
      <w:lvlText w:val="o"/>
      <w:lvlJc w:val="left"/>
      <w:pPr>
        <w:ind w:left="1440" w:hanging="360"/>
      </w:pPr>
      <w:rPr>
        <w:rFonts w:ascii="Courier New" w:hAnsi="Courier New" w:hint="default"/>
      </w:rPr>
    </w:lvl>
    <w:lvl w:ilvl="2" w:tplc="0092569E">
      <w:start w:val="1"/>
      <w:numFmt w:val="bullet"/>
      <w:lvlText w:val=""/>
      <w:lvlJc w:val="left"/>
      <w:pPr>
        <w:ind w:left="2160" w:hanging="360"/>
      </w:pPr>
      <w:rPr>
        <w:rFonts w:ascii="Wingdings" w:hAnsi="Wingdings" w:hint="default"/>
      </w:rPr>
    </w:lvl>
    <w:lvl w:ilvl="3" w:tplc="640212A6">
      <w:start w:val="1"/>
      <w:numFmt w:val="bullet"/>
      <w:lvlText w:val=""/>
      <w:lvlJc w:val="left"/>
      <w:pPr>
        <w:ind w:left="2880" w:hanging="360"/>
      </w:pPr>
      <w:rPr>
        <w:rFonts w:ascii="Symbol" w:hAnsi="Symbol" w:hint="default"/>
      </w:rPr>
    </w:lvl>
    <w:lvl w:ilvl="4" w:tplc="C1068A70">
      <w:start w:val="1"/>
      <w:numFmt w:val="bullet"/>
      <w:lvlText w:val="o"/>
      <w:lvlJc w:val="left"/>
      <w:pPr>
        <w:ind w:left="3600" w:hanging="360"/>
      </w:pPr>
      <w:rPr>
        <w:rFonts w:ascii="Courier New" w:hAnsi="Courier New" w:hint="default"/>
      </w:rPr>
    </w:lvl>
    <w:lvl w:ilvl="5" w:tplc="6E041ACE">
      <w:start w:val="1"/>
      <w:numFmt w:val="bullet"/>
      <w:lvlText w:val=""/>
      <w:lvlJc w:val="left"/>
      <w:pPr>
        <w:ind w:left="4320" w:hanging="360"/>
      </w:pPr>
      <w:rPr>
        <w:rFonts w:ascii="Wingdings" w:hAnsi="Wingdings" w:hint="default"/>
      </w:rPr>
    </w:lvl>
    <w:lvl w:ilvl="6" w:tplc="98B009B2">
      <w:start w:val="1"/>
      <w:numFmt w:val="bullet"/>
      <w:lvlText w:val=""/>
      <w:lvlJc w:val="left"/>
      <w:pPr>
        <w:ind w:left="5040" w:hanging="360"/>
      </w:pPr>
      <w:rPr>
        <w:rFonts w:ascii="Symbol" w:hAnsi="Symbol" w:hint="default"/>
      </w:rPr>
    </w:lvl>
    <w:lvl w:ilvl="7" w:tplc="52AE78BE">
      <w:start w:val="1"/>
      <w:numFmt w:val="bullet"/>
      <w:lvlText w:val="o"/>
      <w:lvlJc w:val="left"/>
      <w:pPr>
        <w:ind w:left="5760" w:hanging="360"/>
      </w:pPr>
      <w:rPr>
        <w:rFonts w:ascii="Courier New" w:hAnsi="Courier New" w:hint="default"/>
      </w:rPr>
    </w:lvl>
    <w:lvl w:ilvl="8" w:tplc="8F2402D6">
      <w:start w:val="1"/>
      <w:numFmt w:val="bullet"/>
      <w:lvlText w:val=""/>
      <w:lvlJc w:val="left"/>
      <w:pPr>
        <w:ind w:left="6480" w:hanging="360"/>
      </w:pPr>
      <w:rPr>
        <w:rFonts w:ascii="Wingdings" w:hAnsi="Wingdings" w:hint="default"/>
      </w:rPr>
    </w:lvl>
  </w:abstractNum>
  <w:abstractNum w:abstractNumId="68" w15:restartNumberingAfterBreak="0">
    <w:nsid w:val="7C34270A"/>
    <w:multiLevelType w:val="multilevel"/>
    <w:tmpl w:val="E06881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19898272">
    <w:abstractNumId w:val="53"/>
  </w:num>
  <w:num w:numId="2" w16cid:durableId="1361929526">
    <w:abstractNumId w:val="55"/>
  </w:num>
  <w:num w:numId="3" w16cid:durableId="530069772">
    <w:abstractNumId w:val="35"/>
  </w:num>
  <w:num w:numId="4" w16cid:durableId="1187017961">
    <w:abstractNumId w:val="25"/>
  </w:num>
  <w:num w:numId="5" w16cid:durableId="1639066710">
    <w:abstractNumId w:val="16"/>
  </w:num>
  <w:num w:numId="6" w16cid:durableId="764230916">
    <w:abstractNumId w:val="42"/>
  </w:num>
  <w:num w:numId="7" w16cid:durableId="347416859">
    <w:abstractNumId w:val="14"/>
  </w:num>
  <w:num w:numId="8" w16cid:durableId="725950546">
    <w:abstractNumId w:val="37"/>
  </w:num>
  <w:num w:numId="9" w16cid:durableId="612438501">
    <w:abstractNumId w:val="29"/>
  </w:num>
  <w:num w:numId="10" w16cid:durableId="707147209">
    <w:abstractNumId w:val="40"/>
  </w:num>
  <w:num w:numId="11" w16cid:durableId="482702832">
    <w:abstractNumId w:val="43"/>
  </w:num>
  <w:num w:numId="12" w16cid:durableId="1266890054">
    <w:abstractNumId w:val="22"/>
  </w:num>
  <w:num w:numId="13" w16cid:durableId="2117015383">
    <w:abstractNumId w:val="60"/>
  </w:num>
  <w:num w:numId="14" w16cid:durableId="214048784">
    <w:abstractNumId w:val="46"/>
  </w:num>
  <w:num w:numId="15" w16cid:durableId="783427546">
    <w:abstractNumId w:val="28"/>
  </w:num>
  <w:num w:numId="16" w16cid:durableId="53433569">
    <w:abstractNumId w:val="65"/>
  </w:num>
  <w:num w:numId="17" w16cid:durableId="2114746362">
    <w:abstractNumId w:val="3"/>
  </w:num>
  <w:num w:numId="18" w16cid:durableId="1994290503">
    <w:abstractNumId w:val="64"/>
  </w:num>
  <w:num w:numId="19" w16cid:durableId="9260822">
    <w:abstractNumId w:val="11"/>
  </w:num>
  <w:num w:numId="20" w16cid:durableId="1340619380">
    <w:abstractNumId w:val="57"/>
  </w:num>
  <w:num w:numId="21" w16cid:durableId="884295955">
    <w:abstractNumId w:val="49"/>
  </w:num>
  <w:num w:numId="22" w16cid:durableId="687489886">
    <w:abstractNumId w:val="6"/>
  </w:num>
  <w:num w:numId="23" w16cid:durableId="851529935">
    <w:abstractNumId w:val="68"/>
  </w:num>
  <w:num w:numId="24" w16cid:durableId="1257445176">
    <w:abstractNumId w:val="45"/>
  </w:num>
  <w:num w:numId="25" w16cid:durableId="1857763422">
    <w:abstractNumId w:val="13"/>
  </w:num>
  <w:num w:numId="26" w16cid:durableId="527108297">
    <w:abstractNumId w:val="7"/>
  </w:num>
  <w:num w:numId="27" w16cid:durableId="653918464">
    <w:abstractNumId w:val="48"/>
  </w:num>
  <w:num w:numId="28" w16cid:durableId="202714317">
    <w:abstractNumId w:val="34"/>
  </w:num>
  <w:num w:numId="29" w16cid:durableId="1967080127">
    <w:abstractNumId w:val="33"/>
  </w:num>
  <w:num w:numId="30" w16cid:durableId="1727679887">
    <w:abstractNumId w:val="30"/>
  </w:num>
  <w:num w:numId="31" w16cid:durableId="921530757">
    <w:abstractNumId w:val="2"/>
  </w:num>
  <w:num w:numId="32" w16cid:durableId="1177115330">
    <w:abstractNumId w:val="23"/>
  </w:num>
  <w:num w:numId="33" w16cid:durableId="288125858">
    <w:abstractNumId w:val="51"/>
  </w:num>
  <w:num w:numId="34" w16cid:durableId="1607498852">
    <w:abstractNumId w:val="47"/>
  </w:num>
  <w:num w:numId="35" w16cid:durableId="1325670042">
    <w:abstractNumId w:val="32"/>
  </w:num>
  <w:num w:numId="36" w16cid:durableId="780760959">
    <w:abstractNumId w:val="18"/>
  </w:num>
  <w:num w:numId="37" w16cid:durableId="591278162">
    <w:abstractNumId w:val="56"/>
  </w:num>
  <w:num w:numId="38" w16cid:durableId="1715689160">
    <w:abstractNumId w:val="0"/>
  </w:num>
  <w:num w:numId="39" w16cid:durableId="1825394151">
    <w:abstractNumId w:val="17"/>
  </w:num>
  <w:num w:numId="40" w16cid:durableId="1274484800">
    <w:abstractNumId w:val="24"/>
  </w:num>
  <w:num w:numId="41" w16cid:durableId="2094473366">
    <w:abstractNumId w:val="26"/>
  </w:num>
  <w:num w:numId="42" w16cid:durableId="1442261572">
    <w:abstractNumId w:val="58"/>
  </w:num>
  <w:num w:numId="43" w16cid:durableId="514080005">
    <w:abstractNumId w:val="63"/>
  </w:num>
  <w:num w:numId="44" w16cid:durableId="430320596">
    <w:abstractNumId w:val="31"/>
  </w:num>
  <w:num w:numId="45" w16cid:durableId="773868168">
    <w:abstractNumId w:val="5"/>
  </w:num>
  <w:num w:numId="46" w16cid:durableId="231503222">
    <w:abstractNumId w:val="67"/>
  </w:num>
  <w:num w:numId="47" w16cid:durableId="1956517914">
    <w:abstractNumId w:val="19"/>
  </w:num>
  <w:num w:numId="48" w16cid:durableId="1526476752">
    <w:abstractNumId w:val="27"/>
  </w:num>
  <w:num w:numId="49" w16cid:durableId="1919047908">
    <w:abstractNumId w:val="12"/>
  </w:num>
  <w:num w:numId="50" w16cid:durableId="1968704673">
    <w:abstractNumId w:val="8"/>
  </w:num>
  <w:num w:numId="51" w16cid:durableId="908737006">
    <w:abstractNumId w:val="38"/>
  </w:num>
  <w:num w:numId="52" w16cid:durableId="806974441">
    <w:abstractNumId w:val="41"/>
  </w:num>
  <w:num w:numId="53" w16cid:durableId="2110077426">
    <w:abstractNumId w:val="21"/>
  </w:num>
  <w:num w:numId="54" w16cid:durableId="1145514373">
    <w:abstractNumId w:val="59"/>
  </w:num>
  <w:num w:numId="55" w16cid:durableId="53545871">
    <w:abstractNumId w:val="20"/>
  </w:num>
  <w:num w:numId="56" w16cid:durableId="459224123">
    <w:abstractNumId w:val="10"/>
  </w:num>
  <w:num w:numId="57" w16cid:durableId="2015261800">
    <w:abstractNumId w:val="66"/>
  </w:num>
  <w:num w:numId="58" w16cid:durableId="315497720">
    <w:abstractNumId w:val="50"/>
  </w:num>
  <w:num w:numId="59" w16cid:durableId="438650032">
    <w:abstractNumId w:val="52"/>
  </w:num>
  <w:num w:numId="60" w16cid:durableId="1562210659">
    <w:abstractNumId w:val="36"/>
  </w:num>
  <w:num w:numId="61" w16cid:durableId="648559784">
    <w:abstractNumId w:val="61"/>
  </w:num>
  <w:num w:numId="62" w16cid:durableId="818038898">
    <w:abstractNumId w:val="4"/>
  </w:num>
  <w:num w:numId="63" w16cid:durableId="1983076267">
    <w:abstractNumId w:val="9"/>
  </w:num>
  <w:num w:numId="64" w16cid:durableId="4796340">
    <w:abstractNumId w:val="1"/>
  </w:num>
  <w:num w:numId="65" w16cid:durableId="1325623175">
    <w:abstractNumId w:val="15"/>
  </w:num>
  <w:num w:numId="66" w16cid:durableId="1966885676">
    <w:abstractNumId w:val="44"/>
  </w:num>
  <w:num w:numId="67" w16cid:durableId="607615485">
    <w:abstractNumId w:val="62"/>
  </w:num>
  <w:num w:numId="68" w16cid:durableId="1117525517">
    <w:abstractNumId w:val="39"/>
  </w:num>
  <w:num w:numId="69" w16cid:durableId="48846675">
    <w:abstractNumId w:val="54"/>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404837B"/>
    <w:rsid w:val="00000389"/>
    <w:rsid w:val="00000670"/>
    <w:rsid w:val="000006FD"/>
    <w:rsid w:val="00000D70"/>
    <w:rsid w:val="000014EF"/>
    <w:rsid w:val="00001721"/>
    <w:rsid w:val="00001796"/>
    <w:rsid w:val="00001F36"/>
    <w:rsid w:val="00002276"/>
    <w:rsid w:val="000022C1"/>
    <w:rsid w:val="00002438"/>
    <w:rsid w:val="00002E1D"/>
    <w:rsid w:val="0000352A"/>
    <w:rsid w:val="000041FD"/>
    <w:rsid w:val="000043AA"/>
    <w:rsid w:val="00004AA3"/>
    <w:rsid w:val="00005564"/>
    <w:rsid w:val="00005DA7"/>
    <w:rsid w:val="0000639B"/>
    <w:rsid w:val="000068B4"/>
    <w:rsid w:val="00006BD4"/>
    <w:rsid w:val="00006C45"/>
    <w:rsid w:val="000074D6"/>
    <w:rsid w:val="000078D6"/>
    <w:rsid w:val="00007D3C"/>
    <w:rsid w:val="00010256"/>
    <w:rsid w:val="000103AD"/>
    <w:rsid w:val="000103F6"/>
    <w:rsid w:val="0001086C"/>
    <w:rsid w:val="00010CF5"/>
    <w:rsid w:val="00010D26"/>
    <w:rsid w:val="0001101F"/>
    <w:rsid w:val="0001138D"/>
    <w:rsid w:val="00011523"/>
    <w:rsid w:val="0001196F"/>
    <w:rsid w:val="00011A91"/>
    <w:rsid w:val="00011B69"/>
    <w:rsid w:val="00011D8F"/>
    <w:rsid w:val="000128C4"/>
    <w:rsid w:val="000129F5"/>
    <w:rsid w:val="00013462"/>
    <w:rsid w:val="0001491E"/>
    <w:rsid w:val="00015183"/>
    <w:rsid w:val="000153A2"/>
    <w:rsid w:val="00015B1F"/>
    <w:rsid w:val="0001651F"/>
    <w:rsid w:val="00016C96"/>
    <w:rsid w:val="000173D2"/>
    <w:rsid w:val="0001762A"/>
    <w:rsid w:val="000179D3"/>
    <w:rsid w:val="00017D55"/>
    <w:rsid w:val="00017F90"/>
    <w:rsid w:val="0002071F"/>
    <w:rsid w:val="0002085D"/>
    <w:rsid w:val="00021241"/>
    <w:rsid w:val="00021279"/>
    <w:rsid w:val="000214C6"/>
    <w:rsid w:val="000214D9"/>
    <w:rsid w:val="00021615"/>
    <w:rsid w:val="00021F3B"/>
    <w:rsid w:val="000220C2"/>
    <w:rsid w:val="00023667"/>
    <w:rsid w:val="00024181"/>
    <w:rsid w:val="00024630"/>
    <w:rsid w:val="00024A6D"/>
    <w:rsid w:val="0002513C"/>
    <w:rsid w:val="0002524F"/>
    <w:rsid w:val="00025253"/>
    <w:rsid w:val="00025260"/>
    <w:rsid w:val="000253A7"/>
    <w:rsid w:val="00025584"/>
    <w:rsid w:val="0002632E"/>
    <w:rsid w:val="00026C03"/>
    <w:rsid w:val="0002726F"/>
    <w:rsid w:val="00027BC0"/>
    <w:rsid w:val="00027F88"/>
    <w:rsid w:val="0003029B"/>
    <w:rsid w:val="00030A19"/>
    <w:rsid w:val="00031039"/>
    <w:rsid w:val="00031887"/>
    <w:rsid w:val="000318BB"/>
    <w:rsid w:val="00031A24"/>
    <w:rsid w:val="000328C6"/>
    <w:rsid w:val="00033006"/>
    <w:rsid w:val="00033381"/>
    <w:rsid w:val="0003369E"/>
    <w:rsid w:val="000339B5"/>
    <w:rsid w:val="000344B0"/>
    <w:rsid w:val="000345FC"/>
    <w:rsid w:val="00034E6E"/>
    <w:rsid w:val="000358BF"/>
    <w:rsid w:val="00035917"/>
    <w:rsid w:val="00035F89"/>
    <w:rsid w:val="00036227"/>
    <w:rsid w:val="0003642E"/>
    <w:rsid w:val="0003652B"/>
    <w:rsid w:val="0003696F"/>
    <w:rsid w:val="00036FBB"/>
    <w:rsid w:val="00037129"/>
    <w:rsid w:val="00037557"/>
    <w:rsid w:val="00037CEC"/>
    <w:rsid w:val="00040375"/>
    <w:rsid w:val="00040680"/>
    <w:rsid w:val="00040802"/>
    <w:rsid w:val="00041152"/>
    <w:rsid w:val="00041410"/>
    <w:rsid w:val="0004162F"/>
    <w:rsid w:val="0004180C"/>
    <w:rsid w:val="000418D6"/>
    <w:rsid w:val="000426B6"/>
    <w:rsid w:val="00042EEA"/>
    <w:rsid w:val="000433BB"/>
    <w:rsid w:val="00044014"/>
    <w:rsid w:val="00044668"/>
    <w:rsid w:val="00045494"/>
    <w:rsid w:val="000456FE"/>
    <w:rsid w:val="00047BA6"/>
    <w:rsid w:val="00050A0F"/>
    <w:rsid w:val="00051606"/>
    <w:rsid w:val="00051765"/>
    <w:rsid w:val="0005176C"/>
    <w:rsid w:val="00052343"/>
    <w:rsid w:val="00052A87"/>
    <w:rsid w:val="00052C00"/>
    <w:rsid w:val="0005360C"/>
    <w:rsid w:val="000536B1"/>
    <w:rsid w:val="00054008"/>
    <w:rsid w:val="00054875"/>
    <w:rsid w:val="0005488C"/>
    <w:rsid w:val="000554F4"/>
    <w:rsid w:val="00055CB4"/>
    <w:rsid w:val="000560C9"/>
    <w:rsid w:val="00056B85"/>
    <w:rsid w:val="00056CE9"/>
    <w:rsid w:val="00056E7B"/>
    <w:rsid w:val="00057011"/>
    <w:rsid w:val="0005767C"/>
    <w:rsid w:val="0006034D"/>
    <w:rsid w:val="0006056D"/>
    <w:rsid w:val="00060631"/>
    <w:rsid w:val="00060B60"/>
    <w:rsid w:val="00060BB4"/>
    <w:rsid w:val="00060D87"/>
    <w:rsid w:val="000610CC"/>
    <w:rsid w:val="00061BC7"/>
    <w:rsid w:val="00061E56"/>
    <w:rsid w:val="00061F20"/>
    <w:rsid w:val="00061F92"/>
    <w:rsid w:val="00063184"/>
    <w:rsid w:val="00063329"/>
    <w:rsid w:val="00063C28"/>
    <w:rsid w:val="00064243"/>
    <w:rsid w:val="000648E0"/>
    <w:rsid w:val="000653EA"/>
    <w:rsid w:val="000657A6"/>
    <w:rsid w:val="00065D0F"/>
    <w:rsid w:val="000661D9"/>
    <w:rsid w:val="00066A73"/>
    <w:rsid w:val="00067754"/>
    <w:rsid w:val="00070520"/>
    <w:rsid w:val="00070607"/>
    <w:rsid w:val="00071086"/>
    <w:rsid w:val="00071451"/>
    <w:rsid w:val="000717B1"/>
    <w:rsid w:val="0007184D"/>
    <w:rsid w:val="00071862"/>
    <w:rsid w:val="00071AC6"/>
    <w:rsid w:val="00071AC7"/>
    <w:rsid w:val="000720FB"/>
    <w:rsid w:val="00072B19"/>
    <w:rsid w:val="00072C0F"/>
    <w:rsid w:val="000732DF"/>
    <w:rsid w:val="000734AC"/>
    <w:rsid w:val="00073606"/>
    <w:rsid w:val="00073CD2"/>
    <w:rsid w:val="00073E59"/>
    <w:rsid w:val="00073EED"/>
    <w:rsid w:val="00074808"/>
    <w:rsid w:val="00074BA3"/>
    <w:rsid w:val="00074C6B"/>
    <w:rsid w:val="000750E7"/>
    <w:rsid w:val="000751B7"/>
    <w:rsid w:val="00075342"/>
    <w:rsid w:val="000756E6"/>
    <w:rsid w:val="00076521"/>
    <w:rsid w:val="0007714C"/>
    <w:rsid w:val="00077A0D"/>
    <w:rsid w:val="000806E9"/>
    <w:rsid w:val="00080758"/>
    <w:rsid w:val="00080F67"/>
    <w:rsid w:val="000815FB"/>
    <w:rsid w:val="00081692"/>
    <w:rsid w:val="00081752"/>
    <w:rsid w:val="00081775"/>
    <w:rsid w:val="00081B61"/>
    <w:rsid w:val="000832B9"/>
    <w:rsid w:val="00083672"/>
    <w:rsid w:val="00083C6E"/>
    <w:rsid w:val="00083C7F"/>
    <w:rsid w:val="00083F7D"/>
    <w:rsid w:val="000847D6"/>
    <w:rsid w:val="00084C3E"/>
    <w:rsid w:val="000850DC"/>
    <w:rsid w:val="00085A9A"/>
    <w:rsid w:val="00085E5B"/>
    <w:rsid w:val="00085FFA"/>
    <w:rsid w:val="000864B2"/>
    <w:rsid w:val="00086F49"/>
    <w:rsid w:val="000878C5"/>
    <w:rsid w:val="00087AA8"/>
    <w:rsid w:val="00090EB1"/>
    <w:rsid w:val="00090EB4"/>
    <w:rsid w:val="0009140B"/>
    <w:rsid w:val="00091934"/>
    <w:rsid w:val="00091F52"/>
    <w:rsid w:val="000925E4"/>
    <w:rsid w:val="00093898"/>
    <w:rsid w:val="00094591"/>
    <w:rsid w:val="00094A13"/>
    <w:rsid w:val="00094D0C"/>
    <w:rsid w:val="00094D17"/>
    <w:rsid w:val="00095377"/>
    <w:rsid w:val="000958FF"/>
    <w:rsid w:val="000959CB"/>
    <w:rsid w:val="00095A13"/>
    <w:rsid w:val="00095C37"/>
    <w:rsid w:val="00096554"/>
    <w:rsid w:val="000967CE"/>
    <w:rsid w:val="000968B9"/>
    <w:rsid w:val="000971A1"/>
    <w:rsid w:val="0009741D"/>
    <w:rsid w:val="00097F17"/>
    <w:rsid w:val="00097F62"/>
    <w:rsid w:val="000A0B8D"/>
    <w:rsid w:val="000A0F70"/>
    <w:rsid w:val="000A11E1"/>
    <w:rsid w:val="000A1674"/>
    <w:rsid w:val="000A19C4"/>
    <w:rsid w:val="000A1A9F"/>
    <w:rsid w:val="000A1D6A"/>
    <w:rsid w:val="000A1E53"/>
    <w:rsid w:val="000A1E92"/>
    <w:rsid w:val="000A1EA1"/>
    <w:rsid w:val="000A1FF9"/>
    <w:rsid w:val="000A230B"/>
    <w:rsid w:val="000A290E"/>
    <w:rsid w:val="000A2E12"/>
    <w:rsid w:val="000A426F"/>
    <w:rsid w:val="000A4277"/>
    <w:rsid w:val="000A4349"/>
    <w:rsid w:val="000A466F"/>
    <w:rsid w:val="000A476E"/>
    <w:rsid w:val="000A5168"/>
    <w:rsid w:val="000A5782"/>
    <w:rsid w:val="000A584A"/>
    <w:rsid w:val="000A5971"/>
    <w:rsid w:val="000A6003"/>
    <w:rsid w:val="000A6236"/>
    <w:rsid w:val="000A671D"/>
    <w:rsid w:val="000A6953"/>
    <w:rsid w:val="000A712B"/>
    <w:rsid w:val="000A79D7"/>
    <w:rsid w:val="000A7C8B"/>
    <w:rsid w:val="000A7E4F"/>
    <w:rsid w:val="000B0E87"/>
    <w:rsid w:val="000B1974"/>
    <w:rsid w:val="000B1E31"/>
    <w:rsid w:val="000B2868"/>
    <w:rsid w:val="000B2C25"/>
    <w:rsid w:val="000B2E9F"/>
    <w:rsid w:val="000B2F43"/>
    <w:rsid w:val="000B2FE0"/>
    <w:rsid w:val="000B31E0"/>
    <w:rsid w:val="000B429C"/>
    <w:rsid w:val="000B4474"/>
    <w:rsid w:val="000B4527"/>
    <w:rsid w:val="000B4EBB"/>
    <w:rsid w:val="000B614A"/>
    <w:rsid w:val="000B622F"/>
    <w:rsid w:val="000B68E1"/>
    <w:rsid w:val="000B6999"/>
    <w:rsid w:val="000B6F18"/>
    <w:rsid w:val="000B6FE7"/>
    <w:rsid w:val="000B72E3"/>
    <w:rsid w:val="000B7AF0"/>
    <w:rsid w:val="000B7BF2"/>
    <w:rsid w:val="000C0149"/>
    <w:rsid w:val="000C01AC"/>
    <w:rsid w:val="000C0D84"/>
    <w:rsid w:val="000C0F4E"/>
    <w:rsid w:val="000C19AE"/>
    <w:rsid w:val="000C19C9"/>
    <w:rsid w:val="000C1CDA"/>
    <w:rsid w:val="000C1DE0"/>
    <w:rsid w:val="000C2291"/>
    <w:rsid w:val="000C25F6"/>
    <w:rsid w:val="000C2B55"/>
    <w:rsid w:val="000C2B87"/>
    <w:rsid w:val="000C2EA1"/>
    <w:rsid w:val="000C3851"/>
    <w:rsid w:val="000C4961"/>
    <w:rsid w:val="000C5077"/>
    <w:rsid w:val="000C54E0"/>
    <w:rsid w:val="000C5A57"/>
    <w:rsid w:val="000C6319"/>
    <w:rsid w:val="000C65FA"/>
    <w:rsid w:val="000C73E6"/>
    <w:rsid w:val="000C7973"/>
    <w:rsid w:val="000D0178"/>
    <w:rsid w:val="000D0392"/>
    <w:rsid w:val="000D0CA8"/>
    <w:rsid w:val="000D1193"/>
    <w:rsid w:val="000D1449"/>
    <w:rsid w:val="000D1651"/>
    <w:rsid w:val="000D1947"/>
    <w:rsid w:val="000D2092"/>
    <w:rsid w:val="000D2345"/>
    <w:rsid w:val="000D2CE9"/>
    <w:rsid w:val="000D39DD"/>
    <w:rsid w:val="000D3AF5"/>
    <w:rsid w:val="000D4252"/>
    <w:rsid w:val="000D426D"/>
    <w:rsid w:val="000D4D47"/>
    <w:rsid w:val="000D5298"/>
    <w:rsid w:val="000D5471"/>
    <w:rsid w:val="000D57AA"/>
    <w:rsid w:val="000D5894"/>
    <w:rsid w:val="000D677D"/>
    <w:rsid w:val="000D6A74"/>
    <w:rsid w:val="000D6A98"/>
    <w:rsid w:val="000D6E5F"/>
    <w:rsid w:val="000D6EA5"/>
    <w:rsid w:val="000D710E"/>
    <w:rsid w:val="000D7221"/>
    <w:rsid w:val="000D7639"/>
    <w:rsid w:val="000D792C"/>
    <w:rsid w:val="000D7B3F"/>
    <w:rsid w:val="000D7DA3"/>
    <w:rsid w:val="000E12FD"/>
    <w:rsid w:val="000E1759"/>
    <w:rsid w:val="000E17EA"/>
    <w:rsid w:val="000E1880"/>
    <w:rsid w:val="000E24F2"/>
    <w:rsid w:val="000E29D4"/>
    <w:rsid w:val="000E2D5F"/>
    <w:rsid w:val="000E2D60"/>
    <w:rsid w:val="000E463E"/>
    <w:rsid w:val="000E54C2"/>
    <w:rsid w:val="000E5C71"/>
    <w:rsid w:val="000E5CC7"/>
    <w:rsid w:val="000E603D"/>
    <w:rsid w:val="000E65AC"/>
    <w:rsid w:val="000E6A28"/>
    <w:rsid w:val="000E6BF4"/>
    <w:rsid w:val="000E711F"/>
    <w:rsid w:val="000E750E"/>
    <w:rsid w:val="000E75B8"/>
    <w:rsid w:val="000E781D"/>
    <w:rsid w:val="000F0745"/>
    <w:rsid w:val="000F0C14"/>
    <w:rsid w:val="000F162F"/>
    <w:rsid w:val="000F169D"/>
    <w:rsid w:val="000F18B0"/>
    <w:rsid w:val="000F1979"/>
    <w:rsid w:val="000F1CA4"/>
    <w:rsid w:val="000F2181"/>
    <w:rsid w:val="000F249E"/>
    <w:rsid w:val="000F26E8"/>
    <w:rsid w:val="000F2AD4"/>
    <w:rsid w:val="000F2EED"/>
    <w:rsid w:val="000F3D52"/>
    <w:rsid w:val="000F3DD0"/>
    <w:rsid w:val="000F4033"/>
    <w:rsid w:val="000F4067"/>
    <w:rsid w:val="000F4415"/>
    <w:rsid w:val="000F4475"/>
    <w:rsid w:val="000F48D5"/>
    <w:rsid w:val="000F54F9"/>
    <w:rsid w:val="000F5833"/>
    <w:rsid w:val="000F62ED"/>
    <w:rsid w:val="000F644A"/>
    <w:rsid w:val="000F645A"/>
    <w:rsid w:val="000F6B1E"/>
    <w:rsid w:val="000F6D48"/>
    <w:rsid w:val="001001AE"/>
    <w:rsid w:val="00101498"/>
    <w:rsid w:val="00101F7F"/>
    <w:rsid w:val="0010225A"/>
    <w:rsid w:val="0010239D"/>
    <w:rsid w:val="001023A2"/>
    <w:rsid w:val="00102950"/>
    <w:rsid w:val="001032C7"/>
    <w:rsid w:val="001038D1"/>
    <w:rsid w:val="00103A85"/>
    <w:rsid w:val="00103AFE"/>
    <w:rsid w:val="001040B5"/>
    <w:rsid w:val="001047EA"/>
    <w:rsid w:val="001049B6"/>
    <w:rsid w:val="00104EB6"/>
    <w:rsid w:val="00105AB8"/>
    <w:rsid w:val="001060FF"/>
    <w:rsid w:val="001069D1"/>
    <w:rsid w:val="00106A91"/>
    <w:rsid w:val="00106B57"/>
    <w:rsid w:val="001073A3"/>
    <w:rsid w:val="0010777A"/>
    <w:rsid w:val="001078C4"/>
    <w:rsid w:val="00107ED0"/>
    <w:rsid w:val="00110256"/>
    <w:rsid w:val="001102CA"/>
    <w:rsid w:val="00110478"/>
    <w:rsid w:val="00110520"/>
    <w:rsid w:val="001106C1"/>
    <w:rsid w:val="001107DA"/>
    <w:rsid w:val="00110808"/>
    <w:rsid w:val="00110DCB"/>
    <w:rsid w:val="00110E67"/>
    <w:rsid w:val="00111103"/>
    <w:rsid w:val="001116C1"/>
    <w:rsid w:val="0011191F"/>
    <w:rsid w:val="00111A38"/>
    <w:rsid w:val="00111CB3"/>
    <w:rsid w:val="001125FF"/>
    <w:rsid w:val="001128EA"/>
    <w:rsid w:val="00112DD5"/>
    <w:rsid w:val="001130E7"/>
    <w:rsid w:val="001131E5"/>
    <w:rsid w:val="001133EC"/>
    <w:rsid w:val="00113B6D"/>
    <w:rsid w:val="001140D3"/>
    <w:rsid w:val="0011455E"/>
    <w:rsid w:val="001145E2"/>
    <w:rsid w:val="0011465F"/>
    <w:rsid w:val="00114691"/>
    <w:rsid w:val="0011474A"/>
    <w:rsid w:val="001147B5"/>
    <w:rsid w:val="001149E3"/>
    <w:rsid w:val="00114AB6"/>
    <w:rsid w:val="00114BD5"/>
    <w:rsid w:val="001156DF"/>
    <w:rsid w:val="00115CB7"/>
    <w:rsid w:val="00115CDD"/>
    <w:rsid w:val="001160E1"/>
    <w:rsid w:val="001163A2"/>
    <w:rsid w:val="001163F9"/>
    <w:rsid w:val="00116409"/>
    <w:rsid w:val="00116918"/>
    <w:rsid w:val="0011697E"/>
    <w:rsid w:val="00116996"/>
    <w:rsid w:val="00116D16"/>
    <w:rsid w:val="00117016"/>
    <w:rsid w:val="001172DE"/>
    <w:rsid w:val="00117C8B"/>
    <w:rsid w:val="0012013E"/>
    <w:rsid w:val="00120595"/>
    <w:rsid w:val="00120A4E"/>
    <w:rsid w:val="00121725"/>
    <w:rsid w:val="00121F5D"/>
    <w:rsid w:val="00122352"/>
    <w:rsid w:val="001225A2"/>
    <w:rsid w:val="001237A7"/>
    <w:rsid w:val="00123D75"/>
    <w:rsid w:val="00123E41"/>
    <w:rsid w:val="00123EAF"/>
    <w:rsid w:val="00124105"/>
    <w:rsid w:val="001241F8"/>
    <w:rsid w:val="00124818"/>
    <w:rsid w:val="0012495B"/>
    <w:rsid w:val="00125395"/>
    <w:rsid w:val="0012542D"/>
    <w:rsid w:val="001254A3"/>
    <w:rsid w:val="001256CA"/>
    <w:rsid w:val="00125925"/>
    <w:rsid w:val="00125CF2"/>
    <w:rsid w:val="00125D9F"/>
    <w:rsid w:val="00126D1E"/>
    <w:rsid w:val="00127784"/>
    <w:rsid w:val="00127EC4"/>
    <w:rsid w:val="00130313"/>
    <w:rsid w:val="0013040A"/>
    <w:rsid w:val="00130BB8"/>
    <w:rsid w:val="00130C5D"/>
    <w:rsid w:val="00131136"/>
    <w:rsid w:val="0013153A"/>
    <w:rsid w:val="001317FB"/>
    <w:rsid w:val="00131DCA"/>
    <w:rsid w:val="00131FA9"/>
    <w:rsid w:val="00132227"/>
    <w:rsid w:val="001327C5"/>
    <w:rsid w:val="00132A42"/>
    <w:rsid w:val="00132C0D"/>
    <w:rsid w:val="00133077"/>
    <w:rsid w:val="001334CF"/>
    <w:rsid w:val="00133FC7"/>
    <w:rsid w:val="001340CF"/>
    <w:rsid w:val="001344B0"/>
    <w:rsid w:val="00134B56"/>
    <w:rsid w:val="00135C94"/>
    <w:rsid w:val="00136555"/>
    <w:rsid w:val="001368BF"/>
    <w:rsid w:val="00136F08"/>
    <w:rsid w:val="001372E4"/>
    <w:rsid w:val="001373F7"/>
    <w:rsid w:val="00137410"/>
    <w:rsid w:val="00137597"/>
    <w:rsid w:val="00137BD5"/>
    <w:rsid w:val="00137C5D"/>
    <w:rsid w:val="00137F7A"/>
    <w:rsid w:val="00140183"/>
    <w:rsid w:val="001406C0"/>
    <w:rsid w:val="001406E9"/>
    <w:rsid w:val="0014078C"/>
    <w:rsid w:val="00140B5A"/>
    <w:rsid w:val="0014106F"/>
    <w:rsid w:val="001414D9"/>
    <w:rsid w:val="0014150B"/>
    <w:rsid w:val="001415CB"/>
    <w:rsid w:val="00141B40"/>
    <w:rsid w:val="0014216C"/>
    <w:rsid w:val="00142424"/>
    <w:rsid w:val="00142B2D"/>
    <w:rsid w:val="00142D8C"/>
    <w:rsid w:val="001434F2"/>
    <w:rsid w:val="00143911"/>
    <w:rsid w:val="001439EF"/>
    <w:rsid w:val="00144085"/>
    <w:rsid w:val="00144415"/>
    <w:rsid w:val="00145367"/>
    <w:rsid w:val="00146B64"/>
    <w:rsid w:val="0014756A"/>
    <w:rsid w:val="00147707"/>
    <w:rsid w:val="001477C5"/>
    <w:rsid w:val="00147B7A"/>
    <w:rsid w:val="00147D25"/>
    <w:rsid w:val="00150420"/>
    <w:rsid w:val="00150896"/>
    <w:rsid w:val="001510E1"/>
    <w:rsid w:val="00151230"/>
    <w:rsid w:val="001516DF"/>
    <w:rsid w:val="0015173A"/>
    <w:rsid w:val="0015181A"/>
    <w:rsid w:val="001518F8"/>
    <w:rsid w:val="00152238"/>
    <w:rsid w:val="0015268E"/>
    <w:rsid w:val="001526BF"/>
    <w:rsid w:val="00153387"/>
    <w:rsid w:val="00153628"/>
    <w:rsid w:val="001536AA"/>
    <w:rsid w:val="001536CD"/>
    <w:rsid w:val="001544AA"/>
    <w:rsid w:val="00154551"/>
    <w:rsid w:val="00154B02"/>
    <w:rsid w:val="00154F14"/>
    <w:rsid w:val="00155477"/>
    <w:rsid w:val="00155575"/>
    <w:rsid w:val="001563DB"/>
    <w:rsid w:val="001564E7"/>
    <w:rsid w:val="001567B6"/>
    <w:rsid w:val="00156C0E"/>
    <w:rsid w:val="00156C41"/>
    <w:rsid w:val="001574EE"/>
    <w:rsid w:val="00157CBE"/>
    <w:rsid w:val="00157F34"/>
    <w:rsid w:val="00160D74"/>
    <w:rsid w:val="00160EFE"/>
    <w:rsid w:val="00161418"/>
    <w:rsid w:val="00162255"/>
    <w:rsid w:val="00162354"/>
    <w:rsid w:val="00162F23"/>
    <w:rsid w:val="00163089"/>
    <w:rsid w:val="00163274"/>
    <w:rsid w:val="001638DF"/>
    <w:rsid w:val="00163F4A"/>
    <w:rsid w:val="00164547"/>
    <w:rsid w:val="0016559D"/>
    <w:rsid w:val="001656CB"/>
    <w:rsid w:val="001659F7"/>
    <w:rsid w:val="00165CD9"/>
    <w:rsid w:val="00165D0D"/>
    <w:rsid w:val="001660E5"/>
    <w:rsid w:val="00166142"/>
    <w:rsid w:val="001664CE"/>
    <w:rsid w:val="00166621"/>
    <w:rsid w:val="001667C3"/>
    <w:rsid w:val="001668CD"/>
    <w:rsid w:val="00166CB0"/>
    <w:rsid w:val="00167015"/>
    <w:rsid w:val="00167798"/>
    <w:rsid w:val="00169F88"/>
    <w:rsid w:val="001701BA"/>
    <w:rsid w:val="001709D6"/>
    <w:rsid w:val="00170F0C"/>
    <w:rsid w:val="001714CD"/>
    <w:rsid w:val="00171549"/>
    <w:rsid w:val="001718F7"/>
    <w:rsid w:val="0017190C"/>
    <w:rsid w:val="00171C48"/>
    <w:rsid w:val="00171D45"/>
    <w:rsid w:val="00171D5B"/>
    <w:rsid w:val="00171F36"/>
    <w:rsid w:val="00171FBE"/>
    <w:rsid w:val="00172C4B"/>
    <w:rsid w:val="00173055"/>
    <w:rsid w:val="001734AF"/>
    <w:rsid w:val="001734E9"/>
    <w:rsid w:val="00173D1A"/>
    <w:rsid w:val="00173EB5"/>
    <w:rsid w:val="001740FA"/>
    <w:rsid w:val="001744E4"/>
    <w:rsid w:val="00174553"/>
    <w:rsid w:val="00175297"/>
    <w:rsid w:val="0017540B"/>
    <w:rsid w:val="00175450"/>
    <w:rsid w:val="0017568B"/>
    <w:rsid w:val="001756CF"/>
    <w:rsid w:val="00175C71"/>
    <w:rsid w:val="00175F7A"/>
    <w:rsid w:val="0017615D"/>
    <w:rsid w:val="001762B3"/>
    <w:rsid w:val="00176327"/>
    <w:rsid w:val="001766DC"/>
    <w:rsid w:val="001767C5"/>
    <w:rsid w:val="00176AB9"/>
    <w:rsid w:val="00176CCE"/>
    <w:rsid w:val="00176E49"/>
    <w:rsid w:val="0017751A"/>
    <w:rsid w:val="00177727"/>
    <w:rsid w:val="00177B97"/>
    <w:rsid w:val="001808B0"/>
    <w:rsid w:val="00180E7A"/>
    <w:rsid w:val="00181254"/>
    <w:rsid w:val="0018129B"/>
    <w:rsid w:val="001816D8"/>
    <w:rsid w:val="00181901"/>
    <w:rsid w:val="00181C0D"/>
    <w:rsid w:val="00182224"/>
    <w:rsid w:val="001824F4"/>
    <w:rsid w:val="00182630"/>
    <w:rsid w:val="001826B1"/>
    <w:rsid w:val="00182719"/>
    <w:rsid w:val="00182B1E"/>
    <w:rsid w:val="00182CD7"/>
    <w:rsid w:val="0018307E"/>
    <w:rsid w:val="00183710"/>
    <w:rsid w:val="00183D3F"/>
    <w:rsid w:val="0018493F"/>
    <w:rsid w:val="00184C8A"/>
    <w:rsid w:val="00185347"/>
    <w:rsid w:val="001855DD"/>
    <w:rsid w:val="00185971"/>
    <w:rsid w:val="0018657B"/>
    <w:rsid w:val="0018677C"/>
    <w:rsid w:val="001869A3"/>
    <w:rsid w:val="00186A59"/>
    <w:rsid w:val="00186B29"/>
    <w:rsid w:val="00186C6C"/>
    <w:rsid w:val="00186D87"/>
    <w:rsid w:val="00186E58"/>
    <w:rsid w:val="001875E8"/>
    <w:rsid w:val="00187DD4"/>
    <w:rsid w:val="00187DDF"/>
    <w:rsid w:val="001906A9"/>
    <w:rsid w:val="00190B8E"/>
    <w:rsid w:val="00190F1D"/>
    <w:rsid w:val="001919CF"/>
    <w:rsid w:val="00191A78"/>
    <w:rsid w:val="001920AB"/>
    <w:rsid w:val="00192991"/>
    <w:rsid w:val="00192B18"/>
    <w:rsid w:val="00193258"/>
    <w:rsid w:val="001932BA"/>
    <w:rsid w:val="001933FC"/>
    <w:rsid w:val="0019345A"/>
    <w:rsid w:val="001934FF"/>
    <w:rsid w:val="00193DD9"/>
    <w:rsid w:val="00193ED8"/>
    <w:rsid w:val="001943CC"/>
    <w:rsid w:val="0019493A"/>
    <w:rsid w:val="00194A79"/>
    <w:rsid w:val="00194C2E"/>
    <w:rsid w:val="00194D73"/>
    <w:rsid w:val="00195398"/>
    <w:rsid w:val="0019542F"/>
    <w:rsid w:val="00195B3F"/>
    <w:rsid w:val="00195FC4"/>
    <w:rsid w:val="001965C5"/>
    <w:rsid w:val="001968F0"/>
    <w:rsid w:val="001969C7"/>
    <w:rsid w:val="001979FF"/>
    <w:rsid w:val="00197A23"/>
    <w:rsid w:val="00197B5B"/>
    <w:rsid w:val="00197C7B"/>
    <w:rsid w:val="001A075D"/>
    <w:rsid w:val="001A0B36"/>
    <w:rsid w:val="001A19F2"/>
    <w:rsid w:val="001A1CCE"/>
    <w:rsid w:val="001A1D47"/>
    <w:rsid w:val="001A21FA"/>
    <w:rsid w:val="001A245F"/>
    <w:rsid w:val="001A254F"/>
    <w:rsid w:val="001A2970"/>
    <w:rsid w:val="001A2BA7"/>
    <w:rsid w:val="001A2DB0"/>
    <w:rsid w:val="001A32CA"/>
    <w:rsid w:val="001A35B5"/>
    <w:rsid w:val="001A3D4F"/>
    <w:rsid w:val="001A3D5C"/>
    <w:rsid w:val="001A3EBB"/>
    <w:rsid w:val="001A41C6"/>
    <w:rsid w:val="001A5273"/>
    <w:rsid w:val="001A563C"/>
    <w:rsid w:val="001A563D"/>
    <w:rsid w:val="001A5DAE"/>
    <w:rsid w:val="001A62C0"/>
    <w:rsid w:val="001A65EE"/>
    <w:rsid w:val="001A67B9"/>
    <w:rsid w:val="001A681E"/>
    <w:rsid w:val="001A721D"/>
    <w:rsid w:val="001A7244"/>
    <w:rsid w:val="001A7E4E"/>
    <w:rsid w:val="001A7F8F"/>
    <w:rsid w:val="001A7F98"/>
    <w:rsid w:val="001B01A2"/>
    <w:rsid w:val="001B026B"/>
    <w:rsid w:val="001B0651"/>
    <w:rsid w:val="001B0980"/>
    <w:rsid w:val="001B16E5"/>
    <w:rsid w:val="001B1817"/>
    <w:rsid w:val="001B203F"/>
    <w:rsid w:val="001B2315"/>
    <w:rsid w:val="001B26CA"/>
    <w:rsid w:val="001B292C"/>
    <w:rsid w:val="001B2A0B"/>
    <w:rsid w:val="001B2E5C"/>
    <w:rsid w:val="001B2E62"/>
    <w:rsid w:val="001B330D"/>
    <w:rsid w:val="001B363E"/>
    <w:rsid w:val="001B494B"/>
    <w:rsid w:val="001B4DA2"/>
    <w:rsid w:val="001B5215"/>
    <w:rsid w:val="001B54B9"/>
    <w:rsid w:val="001B5696"/>
    <w:rsid w:val="001B5F48"/>
    <w:rsid w:val="001B6C97"/>
    <w:rsid w:val="001B7D98"/>
    <w:rsid w:val="001C0967"/>
    <w:rsid w:val="001C0B1C"/>
    <w:rsid w:val="001C1349"/>
    <w:rsid w:val="001C134C"/>
    <w:rsid w:val="001C14CA"/>
    <w:rsid w:val="001C1B3F"/>
    <w:rsid w:val="001C26F5"/>
    <w:rsid w:val="001C27D3"/>
    <w:rsid w:val="001C2A4F"/>
    <w:rsid w:val="001C3F56"/>
    <w:rsid w:val="001C47B3"/>
    <w:rsid w:val="001C482D"/>
    <w:rsid w:val="001C48F2"/>
    <w:rsid w:val="001C4A00"/>
    <w:rsid w:val="001C50F0"/>
    <w:rsid w:val="001C5269"/>
    <w:rsid w:val="001C6267"/>
    <w:rsid w:val="001C6691"/>
    <w:rsid w:val="001C672D"/>
    <w:rsid w:val="001C6A3C"/>
    <w:rsid w:val="001C6EBF"/>
    <w:rsid w:val="001C6EFB"/>
    <w:rsid w:val="001C719C"/>
    <w:rsid w:val="001C765F"/>
    <w:rsid w:val="001C77BD"/>
    <w:rsid w:val="001C77FD"/>
    <w:rsid w:val="001C7C6F"/>
    <w:rsid w:val="001D0368"/>
    <w:rsid w:val="001D050B"/>
    <w:rsid w:val="001D098F"/>
    <w:rsid w:val="001D159C"/>
    <w:rsid w:val="001D160A"/>
    <w:rsid w:val="001D1694"/>
    <w:rsid w:val="001D19F8"/>
    <w:rsid w:val="001D2032"/>
    <w:rsid w:val="001D2402"/>
    <w:rsid w:val="001D2497"/>
    <w:rsid w:val="001D24A8"/>
    <w:rsid w:val="001D2FF3"/>
    <w:rsid w:val="001D33B7"/>
    <w:rsid w:val="001D4113"/>
    <w:rsid w:val="001D448E"/>
    <w:rsid w:val="001D451E"/>
    <w:rsid w:val="001D4B16"/>
    <w:rsid w:val="001D5608"/>
    <w:rsid w:val="001D5A0A"/>
    <w:rsid w:val="001D5B77"/>
    <w:rsid w:val="001D6192"/>
    <w:rsid w:val="001D6A5E"/>
    <w:rsid w:val="001D72B2"/>
    <w:rsid w:val="001D7635"/>
    <w:rsid w:val="001D7714"/>
    <w:rsid w:val="001D79EB"/>
    <w:rsid w:val="001E006C"/>
    <w:rsid w:val="001E01AD"/>
    <w:rsid w:val="001E01D1"/>
    <w:rsid w:val="001E0435"/>
    <w:rsid w:val="001E073B"/>
    <w:rsid w:val="001E07B5"/>
    <w:rsid w:val="001E09E9"/>
    <w:rsid w:val="001E0ADE"/>
    <w:rsid w:val="001E144A"/>
    <w:rsid w:val="001E1B7F"/>
    <w:rsid w:val="001E1CA3"/>
    <w:rsid w:val="001E1DF9"/>
    <w:rsid w:val="001E225C"/>
    <w:rsid w:val="001E2283"/>
    <w:rsid w:val="001E2BF8"/>
    <w:rsid w:val="001E2E47"/>
    <w:rsid w:val="001E2F25"/>
    <w:rsid w:val="001E3046"/>
    <w:rsid w:val="001E3B3A"/>
    <w:rsid w:val="001E41F7"/>
    <w:rsid w:val="001E472F"/>
    <w:rsid w:val="001E4931"/>
    <w:rsid w:val="001E5210"/>
    <w:rsid w:val="001E6350"/>
    <w:rsid w:val="001E676A"/>
    <w:rsid w:val="001E7001"/>
    <w:rsid w:val="001E73AC"/>
    <w:rsid w:val="001E7C99"/>
    <w:rsid w:val="001F07A3"/>
    <w:rsid w:val="001F0FE3"/>
    <w:rsid w:val="001F1404"/>
    <w:rsid w:val="001F1849"/>
    <w:rsid w:val="001F21C6"/>
    <w:rsid w:val="001F274A"/>
    <w:rsid w:val="001F28ED"/>
    <w:rsid w:val="001F2E05"/>
    <w:rsid w:val="001F33CE"/>
    <w:rsid w:val="001F4E30"/>
    <w:rsid w:val="001F5A6D"/>
    <w:rsid w:val="001F5B55"/>
    <w:rsid w:val="001F5E91"/>
    <w:rsid w:val="001F6054"/>
    <w:rsid w:val="001F6709"/>
    <w:rsid w:val="001F6BA3"/>
    <w:rsid w:val="001F6BA4"/>
    <w:rsid w:val="001F6DC3"/>
    <w:rsid w:val="001F7699"/>
    <w:rsid w:val="001F7904"/>
    <w:rsid w:val="001F7F9A"/>
    <w:rsid w:val="00200490"/>
    <w:rsid w:val="00200653"/>
    <w:rsid w:val="002007AF"/>
    <w:rsid w:val="002008C2"/>
    <w:rsid w:val="00200D7E"/>
    <w:rsid w:val="00201415"/>
    <w:rsid w:val="00201868"/>
    <w:rsid w:val="002018FC"/>
    <w:rsid w:val="00201DCC"/>
    <w:rsid w:val="0020277F"/>
    <w:rsid w:val="002028B6"/>
    <w:rsid w:val="00202C4B"/>
    <w:rsid w:val="00203077"/>
    <w:rsid w:val="0020313D"/>
    <w:rsid w:val="0020334E"/>
    <w:rsid w:val="00203493"/>
    <w:rsid w:val="00203D4C"/>
    <w:rsid w:val="00204242"/>
    <w:rsid w:val="00204539"/>
    <w:rsid w:val="00204743"/>
    <w:rsid w:val="00204AE6"/>
    <w:rsid w:val="00204B7F"/>
    <w:rsid w:val="00205389"/>
    <w:rsid w:val="00205C7A"/>
    <w:rsid w:val="00205CD4"/>
    <w:rsid w:val="0020625F"/>
    <w:rsid w:val="002067E5"/>
    <w:rsid w:val="00206B87"/>
    <w:rsid w:val="002070E8"/>
    <w:rsid w:val="00207274"/>
    <w:rsid w:val="0020788D"/>
    <w:rsid w:val="002100E1"/>
    <w:rsid w:val="0021078C"/>
    <w:rsid w:val="00211735"/>
    <w:rsid w:val="002118BC"/>
    <w:rsid w:val="002129CC"/>
    <w:rsid w:val="002129F8"/>
    <w:rsid w:val="00212F0F"/>
    <w:rsid w:val="0021316F"/>
    <w:rsid w:val="002133F9"/>
    <w:rsid w:val="0021359D"/>
    <w:rsid w:val="002139B6"/>
    <w:rsid w:val="00213ABB"/>
    <w:rsid w:val="00213DB4"/>
    <w:rsid w:val="00214306"/>
    <w:rsid w:val="002153FA"/>
    <w:rsid w:val="002155A5"/>
    <w:rsid w:val="0021609F"/>
    <w:rsid w:val="00216175"/>
    <w:rsid w:val="002161AD"/>
    <w:rsid w:val="00216A43"/>
    <w:rsid w:val="002173C4"/>
    <w:rsid w:val="0021779A"/>
    <w:rsid w:val="0022070F"/>
    <w:rsid w:val="002207F9"/>
    <w:rsid w:val="0022084B"/>
    <w:rsid w:val="00221F5F"/>
    <w:rsid w:val="0022267E"/>
    <w:rsid w:val="00222ECF"/>
    <w:rsid w:val="00222F96"/>
    <w:rsid w:val="00223195"/>
    <w:rsid w:val="00223423"/>
    <w:rsid w:val="002235D3"/>
    <w:rsid w:val="00223E84"/>
    <w:rsid w:val="00223E9F"/>
    <w:rsid w:val="00224018"/>
    <w:rsid w:val="0022405C"/>
    <w:rsid w:val="002243DE"/>
    <w:rsid w:val="00225054"/>
    <w:rsid w:val="002254D1"/>
    <w:rsid w:val="00225B51"/>
    <w:rsid w:val="00225DC9"/>
    <w:rsid w:val="00225E77"/>
    <w:rsid w:val="00225EF0"/>
    <w:rsid w:val="002260E9"/>
    <w:rsid w:val="002264F1"/>
    <w:rsid w:val="00226B34"/>
    <w:rsid w:val="002271EB"/>
    <w:rsid w:val="002274BE"/>
    <w:rsid w:val="00227834"/>
    <w:rsid w:val="00227F0B"/>
    <w:rsid w:val="002300BE"/>
    <w:rsid w:val="00230381"/>
    <w:rsid w:val="00230680"/>
    <w:rsid w:val="00230AE3"/>
    <w:rsid w:val="002322C7"/>
    <w:rsid w:val="0023297A"/>
    <w:rsid w:val="00232B30"/>
    <w:rsid w:val="00232EDB"/>
    <w:rsid w:val="00233274"/>
    <w:rsid w:val="002333B5"/>
    <w:rsid w:val="00233EA2"/>
    <w:rsid w:val="00234471"/>
    <w:rsid w:val="002345F2"/>
    <w:rsid w:val="00234D4C"/>
    <w:rsid w:val="00234D7D"/>
    <w:rsid w:val="00234DE6"/>
    <w:rsid w:val="00234E50"/>
    <w:rsid w:val="0023517D"/>
    <w:rsid w:val="00235206"/>
    <w:rsid w:val="00235406"/>
    <w:rsid w:val="00235983"/>
    <w:rsid w:val="00235C79"/>
    <w:rsid w:val="002362F6"/>
    <w:rsid w:val="002363E9"/>
    <w:rsid w:val="00236482"/>
    <w:rsid w:val="00236C9F"/>
    <w:rsid w:val="00236CE5"/>
    <w:rsid w:val="002370A4"/>
    <w:rsid w:val="002371AF"/>
    <w:rsid w:val="00237587"/>
    <w:rsid w:val="002376F6"/>
    <w:rsid w:val="0023786F"/>
    <w:rsid w:val="00237898"/>
    <w:rsid w:val="00237F1C"/>
    <w:rsid w:val="0024053A"/>
    <w:rsid w:val="00241327"/>
    <w:rsid w:val="002414A5"/>
    <w:rsid w:val="00241864"/>
    <w:rsid w:val="00241A87"/>
    <w:rsid w:val="00241FB6"/>
    <w:rsid w:val="00242E88"/>
    <w:rsid w:val="002430E4"/>
    <w:rsid w:val="0024347F"/>
    <w:rsid w:val="002436F2"/>
    <w:rsid w:val="00243797"/>
    <w:rsid w:val="00243901"/>
    <w:rsid w:val="00243C0C"/>
    <w:rsid w:val="00243EAF"/>
    <w:rsid w:val="002449F8"/>
    <w:rsid w:val="00244FB2"/>
    <w:rsid w:val="002451A2"/>
    <w:rsid w:val="0024577A"/>
    <w:rsid w:val="00246189"/>
    <w:rsid w:val="00246892"/>
    <w:rsid w:val="00246E01"/>
    <w:rsid w:val="00246F87"/>
    <w:rsid w:val="00246FC7"/>
    <w:rsid w:val="002472BD"/>
    <w:rsid w:val="00247704"/>
    <w:rsid w:val="002502F5"/>
    <w:rsid w:val="002505ED"/>
    <w:rsid w:val="00250648"/>
    <w:rsid w:val="0025100B"/>
    <w:rsid w:val="00251EA7"/>
    <w:rsid w:val="00252CC2"/>
    <w:rsid w:val="00253287"/>
    <w:rsid w:val="00253347"/>
    <w:rsid w:val="00253C41"/>
    <w:rsid w:val="00253F0C"/>
    <w:rsid w:val="0025405C"/>
    <w:rsid w:val="0025455C"/>
    <w:rsid w:val="00254662"/>
    <w:rsid w:val="0025470D"/>
    <w:rsid w:val="002547AF"/>
    <w:rsid w:val="00254C27"/>
    <w:rsid w:val="00254CCA"/>
    <w:rsid w:val="00254EC2"/>
    <w:rsid w:val="00255638"/>
    <w:rsid w:val="00255719"/>
    <w:rsid w:val="00255AD2"/>
    <w:rsid w:val="00255EF6"/>
    <w:rsid w:val="00256814"/>
    <w:rsid w:val="002575D5"/>
    <w:rsid w:val="00257607"/>
    <w:rsid w:val="00257E65"/>
    <w:rsid w:val="00257FAE"/>
    <w:rsid w:val="002601C2"/>
    <w:rsid w:val="00260893"/>
    <w:rsid w:val="002611BC"/>
    <w:rsid w:val="002615F6"/>
    <w:rsid w:val="00262018"/>
    <w:rsid w:val="002626B3"/>
    <w:rsid w:val="00262CC8"/>
    <w:rsid w:val="00262E91"/>
    <w:rsid w:val="0026322C"/>
    <w:rsid w:val="00263B0A"/>
    <w:rsid w:val="00264FA9"/>
    <w:rsid w:val="002653C1"/>
    <w:rsid w:val="00265541"/>
    <w:rsid w:val="00265F2D"/>
    <w:rsid w:val="00266161"/>
    <w:rsid w:val="00266C92"/>
    <w:rsid w:val="00266E1D"/>
    <w:rsid w:val="0026705D"/>
    <w:rsid w:val="002673D2"/>
    <w:rsid w:val="0026787C"/>
    <w:rsid w:val="0027010D"/>
    <w:rsid w:val="0027088F"/>
    <w:rsid w:val="00270CB9"/>
    <w:rsid w:val="00270E43"/>
    <w:rsid w:val="00271BE3"/>
    <w:rsid w:val="002723C2"/>
    <w:rsid w:val="0027297A"/>
    <w:rsid w:val="00272B31"/>
    <w:rsid w:val="00273049"/>
    <w:rsid w:val="002730B7"/>
    <w:rsid w:val="002731FC"/>
    <w:rsid w:val="002732AE"/>
    <w:rsid w:val="0027334C"/>
    <w:rsid w:val="002733AC"/>
    <w:rsid w:val="00273525"/>
    <w:rsid w:val="00273625"/>
    <w:rsid w:val="0027363B"/>
    <w:rsid w:val="0027377B"/>
    <w:rsid w:val="00273942"/>
    <w:rsid w:val="00273978"/>
    <w:rsid w:val="002747D6"/>
    <w:rsid w:val="0027496D"/>
    <w:rsid w:val="00274AFB"/>
    <w:rsid w:val="00274EC2"/>
    <w:rsid w:val="0027513D"/>
    <w:rsid w:val="0027559F"/>
    <w:rsid w:val="00275656"/>
    <w:rsid w:val="002758D1"/>
    <w:rsid w:val="00275CC0"/>
    <w:rsid w:val="00276016"/>
    <w:rsid w:val="0027628E"/>
    <w:rsid w:val="002764FA"/>
    <w:rsid w:val="002766B3"/>
    <w:rsid w:val="0027671A"/>
    <w:rsid w:val="00276AF3"/>
    <w:rsid w:val="00276DE6"/>
    <w:rsid w:val="00277840"/>
    <w:rsid w:val="00277AA5"/>
    <w:rsid w:val="00277BD6"/>
    <w:rsid w:val="00277DD6"/>
    <w:rsid w:val="00277E4A"/>
    <w:rsid w:val="00277F73"/>
    <w:rsid w:val="00280565"/>
    <w:rsid w:val="002806A6"/>
    <w:rsid w:val="00280BE6"/>
    <w:rsid w:val="00281571"/>
    <w:rsid w:val="002816B8"/>
    <w:rsid w:val="00281B92"/>
    <w:rsid w:val="00281CF0"/>
    <w:rsid w:val="002830D5"/>
    <w:rsid w:val="00283290"/>
    <w:rsid w:val="0028347A"/>
    <w:rsid w:val="002845FE"/>
    <w:rsid w:val="002849F7"/>
    <w:rsid w:val="00284E55"/>
    <w:rsid w:val="00284F83"/>
    <w:rsid w:val="00285A14"/>
    <w:rsid w:val="00285CE7"/>
    <w:rsid w:val="00286C0B"/>
    <w:rsid w:val="0028729F"/>
    <w:rsid w:val="00287938"/>
    <w:rsid w:val="00287A1D"/>
    <w:rsid w:val="00287F04"/>
    <w:rsid w:val="00287FE1"/>
    <w:rsid w:val="0029020E"/>
    <w:rsid w:val="00290943"/>
    <w:rsid w:val="00290C4B"/>
    <w:rsid w:val="00291ACC"/>
    <w:rsid w:val="00291C97"/>
    <w:rsid w:val="002925AA"/>
    <w:rsid w:val="00292828"/>
    <w:rsid w:val="0029286B"/>
    <w:rsid w:val="002928EC"/>
    <w:rsid w:val="002928F9"/>
    <w:rsid w:val="00292DBF"/>
    <w:rsid w:val="002934F1"/>
    <w:rsid w:val="002938D8"/>
    <w:rsid w:val="00293EBF"/>
    <w:rsid w:val="00294D27"/>
    <w:rsid w:val="002956ED"/>
    <w:rsid w:val="00295A9C"/>
    <w:rsid w:val="00295CDB"/>
    <w:rsid w:val="00296058"/>
    <w:rsid w:val="00296865"/>
    <w:rsid w:val="00296A11"/>
    <w:rsid w:val="00296BCB"/>
    <w:rsid w:val="00296C51"/>
    <w:rsid w:val="0029726D"/>
    <w:rsid w:val="00297945"/>
    <w:rsid w:val="002A03D5"/>
    <w:rsid w:val="002A0D3F"/>
    <w:rsid w:val="002A1320"/>
    <w:rsid w:val="002A133B"/>
    <w:rsid w:val="002A1487"/>
    <w:rsid w:val="002A1F8C"/>
    <w:rsid w:val="002A2468"/>
    <w:rsid w:val="002A286D"/>
    <w:rsid w:val="002A2EE2"/>
    <w:rsid w:val="002A338A"/>
    <w:rsid w:val="002A37A2"/>
    <w:rsid w:val="002A387F"/>
    <w:rsid w:val="002A389A"/>
    <w:rsid w:val="002A3BF4"/>
    <w:rsid w:val="002A518B"/>
    <w:rsid w:val="002A5770"/>
    <w:rsid w:val="002A57B6"/>
    <w:rsid w:val="002A5A50"/>
    <w:rsid w:val="002A5A63"/>
    <w:rsid w:val="002A5AF7"/>
    <w:rsid w:val="002A6421"/>
    <w:rsid w:val="002A6C03"/>
    <w:rsid w:val="002A70C0"/>
    <w:rsid w:val="002A752A"/>
    <w:rsid w:val="002A7CD2"/>
    <w:rsid w:val="002B0E8A"/>
    <w:rsid w:val="002B0EEE"/>
    <w:rsid w:val="002B1150"/>
    <w:rsid w:val="002B18CE"/>
    <w:rsid w:val="002B1919"/>
    <w:rsid w:val="002B1D48"/>
    <w:rsid w:val="002B1FA3"/>
    <w:rsid w:val="002B2D4D"/>
    <w:rsid w:val="002B2F82"/>
    <w:rsid w:val="002B3001"/>
    <w:rsid w:val="002B38F6"/>
    <w:rsid w:val="002B404D"/>
    <w:rsid w:val="002B411D"/>
    <w:rsid w:val="002B460F"/>
    <w:rsid w:val="002B4714"/>
    <w:rsid w:val="002B482D"/>
    <w:rsid w:val="002B4D44"/>
    <w:rsid w:val="002B4DD4"/>
    <w:rsid w:val="002B4DDE"/>
    <w:rsid w:val="002B51B6"/>
    <w:rsid w:val="002B5E2B"/>
    <w:rsid w:val="002B63F5"/>
    <w:rsid w:val="002B6757"/>
    <w:rsid w:val="002B6FF7"/>
    <w:rsid w:val="002B7088"/>
    <w:rsid w:val="002B7103"/>
    <w:rsid w:val="002B77D5"/>
    <w:rsid w:val="002B7917"/>
    <w:rsid w:val="002C0023"/>
    <w:rsid w:val="002C0ABD"/>
    <w:rsid w:val="002C0B2E"/>
    <w:rsid w:val="002C206C"/>
    <w:rsid w:val="002C24DF"/>
    <w:rsid w:val="002C2D8F"/>
    <w:rsid w:val="002C31AA"/>
    <w:rsid w:val="002C43FE"/>
    <w:rsid w:val="002C5180"/>
    <w:rsid w:val="002C5196"/>
    <w:rsid w:val="002C52AE"/>
    <w:rsid w:val="002C5B80"/>
    <w:rsid w:val="002C5E3A"/>
    <w:rsid w:val="002C5EA3"/>
    <w:rsid w:val="002C6588"/>
    <w:rsid w:val="002C6C41"/>
    <w:rsid w:val="002C6DE0"/>
    <w:rsid w:val="002C6F20"/>
    <w:rsid w:val="002C7506"/>
    <w:rsid w:val="002C7909"/>
    <w:rsid w:val="002C7DDA"/>
    <w:rsid w:val="002D03F5"/>
    <w:rsid w:val="002D0927"/>
    <w:rsid w:val="002D252C"/>
    <w:rsid w:val="002D25E3"/>
    <w:rsid w:val="002D3295"/>
    <w:rsid w:val="002D3333"/>
    <w:rsid w:val="002D400C"/>
    <w:rsid w:val="002D43A8"/>
    <w:rsid w:val="002D4405"/>
    <w:rsid w:val="002D5107"/>
    <w:rsid w:val="002D51E7"/>
    <w:rsid w:val="002D53B6"/>
    <w:rsid w:val="002D5940"/>
    <w:rsid w:val="002D5F7C"/>
    <w:rsid w:val="002D6017"/>
    <w:rsid w:val="002D621A"/>
    <w:rsid w:val="002D632C"/>
    <w:rsid w:val="002D64FD"/>
    <w:rsid w:val="002D6696"/>
    <w:rsid w:val="002D6AC5"/>
    <w:rsid w:val="002D6C47"/>
    <w:rsid w:val="002D6D2D"/>
    <w:rsid w:val="002D6D3F"/>
    <w:rsid w:val="002D6F1A"/>
    <w:rsid w:val="002D7256"/>
    <w:rsid w:val="002D7B62"/>
    <w:rsid w:val="002E064F"/>
    <w:rsid w:val="002E0ECD"/>
    <w:rsid w:val="002E17C0"/>
    <w:rsid w:val="002E1C2D"/>
    <w:rsid w:val="002E1EB3"/>
    <w:rsid w:val="002E26F5"/>
    <w:rsid w:val="002E29EE"/>
    <w:rsid w:val="002E2C17"/>
    <w:rsid w:val="002E3DC4"/>
    <w:rsid w:val="002E4896"/>
    <w:rsid w:val="002E543D"/>
    <w:rsid w:val="002E552E"/>
    <w:rsid w:val="002E5673"/>
    <w:rsid w:val="002E56BF"/>
    <w:rsid w:val="002E5CCF"/>
    <w:rsid w:val="002E6451"/>
    <w:rsid w:val="002E657C"/>
    <w:rsid w:val="002E6B97"/>
    <w:rsid w:val="002E6CB3"/>
    <w:rsid w:val="002E6D5D"/>
    <w:rsid w:val="002E6FAE"/>
    <w:rsid w:val="002E7ADC"/>
    <w:rsid w:val="002F0536"/>
    <w:rsid w:val="002F067D"/>
    <w:rsid w:val="002F09A7"/>
    <w:rsid w:val="002F0C76"/>
    <w:rsid w:val="002F0D59"/>
    <w:rsid w:val="002F0D7B"/>
    <w:rsid w:val="002F100D"/>
    <w:rsid w:val="002F169E"/>
    <w:rsid w:val="002F1C37"/>
    <w:rsid w:val="002F1CFB"/>
    <w:rsid w:val="002F23A9"/>
    <w:rsid w:val="002F23E7"/>
    <w:rsid w:val="002F2BC7"/>
    <w:rsid w:val="002F343D"/>
    <w:rsid w:val="002F38A9"/>
    <w:rsid w:val="002F3A93"/>
    <w:rsid w:val="002F4693"/>
    <w:rsid w:val="002F4C33"/>
    <w:rsid w:val="002F4D98"/>
    <w:rsid w:val="002F4EC0"/>
    <w:rsid w:val="002F4FB4"/>
    <w:rsid w:val="002F548E"/>
    <w:rsid w:val="002F577D"/>
    <w:rsid w:val="002F5CAE"/>
    <w:rsid w:val="002F5EEF"/>
    <w:rsid w:val="002F6194"/>
    <w:rsid w:val="002F6EC3"/>
    <w:rsid w:val="002F6FB3"/>
    <w:rsid w:val="002F73A4"/>
    <w:rsid w:val="002F79BD"/>
    <w:rsid w:val="002F7C43"/>
    <w:rsid w:val="002F7E50"/>
    <w:rsid w:val="003004B1"/>
    <w:rsid w:val="003008EC"/>
    <w:rsid w:val="00300998"/>
    <w:rsid w:val="00300A50"/>
    <w:rsid w:val="00301D77"/>
    <w:rsid w:val="00302422"/>
    <w:rsid w:val="00302746"/>
    <w:rsid w:val="00302CDC"/>
    <w:rsid w:val="0030331B"/>
    <w:rsid w:val="00303357"/>
    <w:rsid w:val="003034D9"/>
    <w:rsid w:val="00303D84"/>
    <w:rsid w:val="0030434A"/>
    <w:rsid w:val="003044B6"/>
    <w:rsid w:val="00304B2F"/>
    <w:rsid w:val="00304D45"/>
    <w:rsid w:val="00304FCD"/>
    <w:rsid w:val="0030532D"/>
    <w:rsid w:val="003054DE"/>
    <w:rsid w:val="00305846"/>
    <w:rsid w:val="00305E3C"/>
    <w:rsid w:val="00305F52"/>
    <w:rsid w:val="00306A76"/>
    <w:rsid w:val="00306D7F"/>
    <w:rsid w:val="003071B4"/>
    <w:rsid w:val="0030728C"/>
    <w:rsid w:val="003072FF"/>
    <w:rsid w:val="00307B63"/>
    <w:rsid w:val="003100B0"/>
    <w:rsid w:val="00310744"/>
    <w:rsid w:val="00310C45"/>
    <w:rsid w:val="00310C63"/>
    <w:rsid w:val="003124AD"/>
    <w:rsid w:val="00312CB7"/>
    <w:rsid w:val="0031331B"/>
    <w:rsid w:val="003135CF"/>
    <w:rsid w:val="003138DE"/>
    <w:rsid w:val="00313AB2"/>
    <w:rsid w:val="00313F91"/>
    <w:rsid w:val="003146AB"/>
    <w:rsid w:val="00314CEB"/>
    <w:rsid w:val="00314D61"/>
    <w:rsid w:val="00315349"/>
    <w:rsid w:val="003155DC"/>
    <w:rsid w:val="003162BA"/>
    <w:rsid w:val="00316317"/>
    <w:rsid w:val="00316BAB"/>
    <w:rsid w:val="00316EE2"/>
    <w:rsid w:val="00316F6A"/>
    <w:rsid w:val="00316F75"/>
    <w:rsid w:val="0031704F"/>
    <w:rsid w:val="0031713F"/>
    <w:rsid w:val="00317B4D"/>
    <w:rsid w:val="00317B94"/>
    <w:rsid w:val="00317C27"/>
    <w:rsid w:val="00317F59"/>
    <w:rsid w:val="0032008F"/>
    <w:rsid w:val="00320169"/>
    <w:rsid w:val="003202C1"/>
    <w:rsid w:val="00321263"/>
    <w:rsid w:val="0032135F"/>
    <w:rsid w:val="0032156F"/>
    <w:rsid w:val="00321709"/>
    <w:rsid w:val="00322065"/>
    <w:rsid w:val="00322183"/>
    <w:rsid w:val="003221E5"/>
    <w:rsid w:val="00322463"/>
    <w:rsid w:val="0032252B"/>
    <w:rsid w:val="00322980"/>
    <w:rsid w:val="00322A8E"/>
    <w:rsid w:val="00322D81"/>
    <w:rsid w:val="0032312E"/>
    <w:rsid w:val="00323262"/>
    <w:rsid w:val="003239CC"/>
    <w:rsid w:val="0032476E"/>
    <w:rsid w:val="00324F76"/>
    <w:rsid w:val="00324FB1"/>
    <w:rsid w:val="00325153"/>
    <w:rsid w:val="0032517E"/>
    <w:rsid w:val="003252E4"/>
    <w:rsid w:val="00325303"/>
    <w:rsid w:val="00325C9B"/>
    <w:rsid w:val="00325D8C"/>
    <w:rsid w:val="0032782B"/>
    <w:rsid w:val="00327BDC"/>
    <w:rsid w:val="00330100"/>
    <w:rsid w:val="00330135"/>
    <w:rsid w:val="00330AB9"/>
    <w:rsid w:val="00331053"/>
    <w:rsid w:val="00331355"/>
    <w:rsid w:val="0033172B"/>
    <w:rsid w:val="00331AE4"/>
    <w:rsid w:val="00331B56"/>
    <w:rsid w:val="00331D9E"/>
    <w:rsid w:val="00331F65"/>
    <w:rsid w:val="00332354"/>
    <w:rsid w:val="00332684"/>
    <w:rsid w:val="003329FD"/>
    <w:rsid w:val="00332E38"/>
    <w:rsid w:val="00333389"/>
    <w:rsid w:val="003337E5"/>
    <w:rsid w:val="003338E7"/>
    <w:rsid w:val="00333DE9"/>
    <w:rsid w:val="00333F50"/>
    <w:rsid w:val="0033439D"/>
    <w:rsid w:val="00334592"/>
    <w:rsid w:val="00334819"/>
    <w:rsid w:val="00334F74"/>
    <w:rsid w:val="0033507A"/>
    <w:rsid w:val="003353D9"/>
    <w:rsid w:val="00335C43"/>
    <w:rsid w:val="0033606D"/>
    <w:rsid w:val="00336280"/>
    <w:rsid w:val="00337327"/>
    <w:rsid w:val="00340198"/>
    <w:rsid w:val="0034099A"/>
    <w:rsid w:val="00340D5D"/>
    <w:rsid w:val="00341505"/>
    <w:rsid w:val="00341827"/>
    <w:rsid w:val="00341BC9"/>
    <w:rsid w:val="00341F32"/>
    <w:rsid w:val="00341F43"/>
    <w:rsid w:val="00341FA7"/>
    <w:rsid w:val="0034325F"/>
    <w:rsid w:val="003432F0"/>
    <w:rsid w:val="003434E5"/>
    <w:rsid w:val="00343D69"/>
    <w:rsid w:val="00344419"/>
    <w:rsid w:val="003445E5"/>
    <w:rsid w:val="00344990"/>
    <w:rsid w:val="00344BA8"/>
    <w:rsid w:val="00344EE6"/>
    <w:rsid w:val="00345361"/>
    <w:rsid w:val="0034557A"/>
    <w:rsid w:val="00345F9D"/>
    <w:rsid w:val="00346C32"/>
    <w:rsid w:val="00346DB6"/>
    <w:rsid w:val="00346EC1"/>
    <w:rsid w:val="003470D9"/>
    <w:rsid w:val="003471E9"/>
    <w:rsid w:val="0034729F"/>
    <w:rsid w:val="003477A9"/>
    <w:rsid w:val="003479E0"/>
    <w:rsid w:val="00347CD4"/>
    <w:rsid w:val="00350225"/>
    <w:rsid w:val="003507EB"/>
    <w:rsid w:val="00350C0C"/>
    <w:rsid w:val="00350C2F"/>
    <w:rsid w:val="00350FDD"/>
    <w:rsid w:val="00351457"/>
    <w:rsid w:val="00351491"/>
    <w:rsid w:val="00351929"/>
    <w:rsid w:val="0035281A"/>
    <w:rsid w:val="0035283E"/>
    <w:rsid w:val="00352846"/>
    <w:rsid w:val="00353077"/>
    <w:rsid w:val="00353C58"/>
    <w:rsid w:val="00353DB1"/>
    <w:rsid w:val="00354016"/>
    <w:rsid w:val="0035478B"/>
    <w:rsid w:val="003551C9"/>
    <w:rsid w:val="003558E1"/>
    <w:rsid w:val="003559BE"/>
    <w:rsid w:val="00355A8D"/>
    <w:rsid w:val="00355B89"/>
    <w:rsid w:val="00355EF4"/>
    <w:rsid w:val="0035642D"/>
    <w:rsid w:val="003566E5"/>
    <w:rsid w:val="0035694E"/>
    <w:rsid w:val="00356AE2"/>
    <w:rsid w:val="00356F9F"/>
    <w:rsid w:val="00357964"/>
    <w:rsid w:val="00357A8E"/>
    <w:rsid w:val="00361607"/>
    <w:rsid w:val="00361C54"/>
    <w:rsid w:val="00361D02"/>
    <w:rsid w:val="00362896"/>
    <w:rsid w:val="00362CA9"/>
    <w:rsid w:val="00363764"/>
    <w:rsid w:val="003639B8"/>
    <w:rsid w:val="00363A25"/>
    <w:rsid w:val="00363EDD"/>
    <w:rsid w:val="00363FC3"/>
    <w:rsid w:val="0036571F"/>
    <w:rsid w:val="003658C9"/>
    <w:rsid w:val="00365E9C"/>
    <w:rsid w:val="00365FDD"/>
    <w:rsid w:val="003662F2"/>
    <w:rsid w:val="00366BFA"/>
    <w:rsid w:val="00367340"/>
    <w:rsid w:val="003676CD"/>
    <w:rsid w:val="003709EF"/>
    <w:rsid w:val="00370A52"/>
    <w:rsid w:val="00370C4B"/>
    <w:rsid w:val="00370D62"/>
    <w:rsid w:val="00371B80"/>
    <w:rsid w:val="00371C6F"/>
    <w:rsid w:val="0037268A"/>
    <w:rsid w:val="00372719"/>
    <w:rsid w:val="003729C9"/>
    <w:rsid w:val="00372B20"/>
    <w:rsid w:val="00373D04"/>
    <w:rsid w:val="003742E8"/>
    <w:rsid w:val="00374D85"/>
    <w:rsid w:val="00375134"/>
    <w:rsid w:val="003760E0"/>
    <w:rsid w:val="003767A3"/>
    <w:rsid w:val="003773FB"/>
    <w:rsid w:val="003774FE"/>
    <w:rsid w:val="00377A5A"/>
    <w:rsid w:val="00377FCC"/>
    <w:rsid w:val="0038019F"/>
    <w:rsid w:val="00380C5B"/>
    <w:rsid w:val="003812D9"/>
    <w:rsid w:val="00381C7D"/>
    <w:rsid w:val="003821E9"/>
    <w:rsid w:val="00382A45"/>
    <w:rsid w:val="00383085"/>
    <w:rsid w:val="003834E8"/>
    <w:rsid w:val="003837FD"/>
    <w:rsid w:val="00383DCF"/>
    <w:rsid w:val="00383F51"/>
    <w:rsid w:val="003842C8"/>
    <w:rsid w:val="003843BC"/>
    <w:rsid w:val="0038460F"/>
    <w:rsid w:val="00384824"/>
    <w:rsid w:val="00385238"/>
    <w:rsid w:val="003856E1"/>
    <w:rsid w:val="0038573F"/>
    <w:rsid w:val="003866E5"/>
    <w:rsid w:val="00386D81"/>
    <w:rsid w:val="00387166"/>
    <w:rsid w:val="003872CA"/>
    <w:rsid w:val="00387DA4"/>
    <w:rsid w:val="003900C7"/>
    <w:rsid w:val="0039054E"/>
    <w:rsid w:val="00390A25"/>
    <w:rsid w:val="00390F34"/>
    <w:rsid w:val="003916C6"/>
    <w:rsid w:val="003927D4"/>
    <w:rsid w:val="00392B2A"/>
    <w:rsid w:val="00392CA8"/>
    <w:rsid w:val="0039315C"/>
    <w:rsid w:val="0039401E"/>
    <w:rsid w:val="00394CA2"/>
    <w:rsid w:val="00395528"/>
    <w:rsid w:val="00395538"/>
    <w:rsid w:val="00395C5D"/>
    <w:rsid w:val="0039633D"/>
    <w:rsid w:val="0039661C"/>
    <w:rsid w:val="00396B4B"/>
    <w:rsid w:val="00397E5F"/>
    <w:rsid w:val="003A084C"/>
    <w:rsid w:val="003A10C6"/>
    <w:rsid w:val="003A11A6"/>
    <w:rsid w:val="003A1828"/>
    <w:rsid w:val="003A18B4"/>
    <w:rsid w:val="003A1E8D"/>
    <w:rsid w:val="003A2097"/>
    <w:rsid w:val="003A242F"/>
    <w:rsid w:val="003A3280"/>
    <w:rsid w:val="003A36C2"/>
    <w:rsid w:val="003A3B2F"/>
    <w:rsid w:val="003A3C2A"/>
    <w:rsid w:val="003A4865"/>
    <w:rsid w:val="003A4BE9"/>
    <w:rsid w:val="003A5805"/>
    <w:rsid w:val="003A59FC"/>
    <w:rsid w:val="003A5D78"/>
    <w:rsid w:val="003A5F99"/>
    <w:rsid w:val="003A6144"/>
    <w:rsid w:val="003A68BA"/>
    <w:rsid w:val="003A6AF2"/>
    <w:rsid w:val="003A6B47"/>
    <w:rsid w:val="003A7488"/>
    <w:rsid w:val="003B0A9B"/>
    <w:rsid w:val="003B122F"/>
    <w:rsid w:val="003B1A1A"/>
    <w:rsid w:val="003B1D8C"/>
    <w:rsid w:val="003B29E6"/>
    <w:rsid w:val="003B32E5"/>
    <w:rsid w:val="003B34D4"/>
    <w:rsid w:val="003B36E6"/>
    <w:rsid w:val="003B36E7"/>
    <w:rsid w:val="003B3771"/>
    <w:rsid w:val="003B38C5"/>
    <w:rsid w:val="003B3B11"/>
    <w:rsid w:val="003B3C6A"/>
    <w:rsid w:val="003B4136"/>
    <w:rsid w:val="003B44CA"/>
    <w:rsid w:val="003B4CB6"/>
    <w:rsid w:val="003B544D"/>
    <w:rsid w:val="003B5784"/>
    <w:rsid w:val="003B591C"/>
    <w:rsid w:val="003B5ACC"/>
    <w:rsid w:val="003B5F8D"/>
    <w:rsid w:val="003B631A"/>
    <w:rsid w:val="003B63EF"/>
    <w:rsid w:val="003B6E9C"/>
    <w:rsid w:val="003B7473"/>
    <w:rsid w:val="003B751E"/>
    <w:rsid w:val="003C0058"/>
    <w:rsid w:val="003C03DD"/>
    <w:rsid w:val="003C0489"/>
    <w:rsid w:val="003C0A81"/>
    <w:rsid w:val="003C13D8"/>
    <w:rsid w:val="003C17DC"/>
    <w:rsid w:val="003C1C2A"/>
    <w:rsid w:val="003C240C"/>
    <w:rsid w:val="003C24B2"/>
    <w:rsid w:val="003C288F"/>
    <w:rsid w:val="003C297E"/>
    <w:rsid w:val="003C3164"/>
    <w:rsid w:val="003C339F"/>
    <w:rsid w:val="003C3404"/>
    <w:rsid w:val="003C3856"/>
    <w:rsid w:val="003C38E4"/>
    <w:rsid w:val="003C4148"/>
    <w:rsid w:val="003C4581"/>
    <w:rsid w:val="003C4A34"/>
    <w:rsid w:val="003C4A80"/>
    <w:rsid w:val="003C56D7"/>
    <w:rsid w:val="003C5743"/>
    <w:rsid w:val="003C64B8"/>
    <w:rsid w:val="003C6F22"/>
    <w:rsid w:val="003C7663"/>
    <w:rsid w:val="003D0045"/>
    <w:rsid w:val="003D02E5"/>
    <w:rsid w:val="003D058B"/>
    <w:rsid w:val="003D0710"/>
    <w:rsid w:val="003D08B8"/>
    <w:rsid w:val="003D0B06"/>
    <w:rsid w:val="003D0CEC"/>
    <w:rsid w:val="003D10E4"/>
    <w:rsid w:val="003D1E10"/>
    <w:rsid w:val="003D2134"/>
    <w:rsid w:val="003D2413"/>
    <w:rsid w:val="003D247E"/>
    <w:rsid w:val="003D28BB"/>
    <w:rsid w:val="003D290B"/>
    <w:rsid w:val="003D2B5B"/>
    <w:rsid w:val="003D2C12"/>
    <w:rsid w:val="003D309B"/>
    <w:rsid w:val="003D3A8D"/>
    <w:rsid w:val="003D3B08"/>
    <w:rsid w:val="003D40CF"/>
    <w:rsid w:val="003D40F0"/>
    <w:rsid w:val="003D4A55"/>
    <w:rsid w:val="003D5811"/>
    <w:rsid w:val="003D58B4"/>
    <w:rsid w:val="003D5CAB"/>
    <w:rsid w:val="003D633E"/>
    <w:rsid w:val="003D6AC4"/>
    <w:rsid w:val="003D7427"/>
    <w:rsid w:val="003D78C7"/>
    <w:rsid w:val="003D7AC6"/>
    <w:rsid w:val="003D7BEE"/>
    <w:rsid w:val="003D7CFE"/>
    <w:rsid w:val="003E1709"/>
    <w:rsid w:val="003E1941"/>
    <w:rsid w:val="003E220D"/>
    <w:rsid w:val="003E283F"/>
    <w:rsid w:val="003E2DCB"/>
    <w:rsid w:val="003E2E40"/>
    <w:rsid w:val="003E3233"/>
    <w:rsid w:val="003E3531"/>
    <w:rsid w:val="003E37AF"/>
    <w:rsid w:val="003E3AE5"/>
    <w:rsid w:val="003E4094"/>
    <w:rsid w:val="003E4150"/>
    <w:rsid w:val="003E459F"/>
    <w:rsid w:val="003E467A"/>
    <w:rsid w:val="003E4CFC"/>
    <w:rsid w:val="003E5584"/>
    <w:rsid w:val="003E5689"/>
    <w:rsid w:val="003E585E"/>
    <w:rsid w:val="003E6014"/>
    <w:rsid w:val="003E627D"/>
    <w:rsid w:val="003E62B5"/>
    <w:rsid w:val="003E63DC"/>
    <w:rsid w:val="003E73CC"/>
    <w:rsid w:val="003E77A2"/>
    <w:rsid w:val="003E7883"/>
    <w:rsid w:val="003E78C2"/>
    <w:rsid w:val="003F053B"/>
    <w:rsid w:val="003F06FD"/>
    <w:rsid w:val="003F0B3F"/>
    <w:rsid w:val="003F0B82"/>
    <w:rsid w:val="003F0C6A"/>
    <w:rsid w:val="003F112E"/>
    <w:rsid w:val="003F1CA0"/>
    <w:rsid w:val="003F2680"/>
    <w:rsid w:val="003F29C5"/>
    <w:rsid w:val="003F2CB8"/>
    <w:rsid w:val="003F2CE8"/>
    <w:rsid w:val="003F2D75"/>
    <w:rsid w:val="003F3906"/>
    <w:rsid w:val="003F3F8F"/>
    <w:rsid w:val="003F3F96"/>
    <w:rsid w:val="003F435D"/>
    <w:rsid w:val="003F475B"/>
    <w:rsid w:val="003F4892"/>
    <w:rsid w:val="003F49E6"/>
    <w:rsid w:val="003F4E25"/>
    <w:rsid w:val="003F5598"/>
    <w:rsid w:val="003F59C9"/>
    <w:rsid w:val="003F59CF"/>
    <w:rsid w:val="003F5F82"/>
    <w:rsid w:val="003F60EA"/>
    <w:rsid w:val="003F621A"/>
    <w:rsid w:val="003F628F"/>
    <w:rsid w:val="003F73AF"/>
    <w:rsid w:val="003F783C"/>
    <w:rsid w:val="003F7912"/>
    <w:rsid w:val="003F7C7D"/>
    <w:rsid w:val="00400246"/>
    <w:rsid w:val="004007AB"/>
    <w:rsid w:val="004007BE"/>
    <w:rsid w:val="00400A8B"/>
    <w:rsid w:val="00401682"/>
    <w:rsid w:val="00401A1C"/>
    <w:rsid w:val="00401A5E"/>
    <w:rsid w:val="00401CD0"/>
    <w:rsid w:val="00402BC8"/>
    <w:rsid w:val="00402C2E"/>
    <w:rsid w:val="00402C8E"/>
    <w:rsid w:val="00402DBD"/>
    <w:rsid w:val="0040322A"/>
    <w:rsid w:val="00403728"/>
    <w:rsid w:val="00403A61"/>
    <w:rsid w:val="00404001"/>
    <w:rsid w:val="00404DC3"/>
    <w:rsid w:val="00404FCD"/>
    <w:rsid w:val="00404FEA"/>
    <w:rsid w:val="00405BF8"/>
    <w:rsid w:val="00405C43"/>
    <w:rsid w:val="0040660D"/>
    <w:rsid w:val="00406DDF"/>
    <w:rsid w:val="00407647"/>
    <w:rsid w:val="004078B5"/>
    <w:rsid w:val="00407B6B"/>
    <w:rsid w:val="00411C13"/>
    <w:rsid w:val="00412044"/>
    <w:rsid w:val="00412815"/>
    <w:rsid w:val="00412A05"/>
    <w:rsid w:val="00413AEB"/>
    <w:rsid w:val="00413DC9"/>
    <w:rsid w:val="0041406F"/>
    <w:rsid w:val="0041484F"/>
    <w:rsid w:val="00414AE7"/>
    <w:rsid w:val="00415255"/>
    <w:rsid w:val="004153B8"/>
    <w:rsid w:val="004154B1"/>
    <w:rsid w:val="00415E40"/>
    <w:rsid w:val="00415EB5"/>
    <w:rsid w:val="00415F09"/>
    <w:rsid w:val="00415FFF"/>
    <w:rsid w:val="004166E5"/>
    <w:rsid w:val="004169CA"/>
    <w:rsid w:val="004169E6"/>
    <w:rsid w:val="00416A34"/>
    <w:rsid w:val="00416BB6"/>
    <w:rsid w:val="00416E25"/>
    <w:rsid w:val="00417CAA"/>
    <w:rsid w:val="004202F8"/>
    <w:rsid w:val="00420344"/>
    <w:rsid w:val="00420FCD"/>
    <w:rsid w:val="0042153C"/>
    <w:rsid w:val="00421D87"/>
    <w:rsid w:val="00422128"/>
    <w:rsid w:val="00422237"/>
    <w:rsid w:val="00422241"/>
    <w:rsid w:val="00422324"/>
    <w:rsid w:val="0042235D"/>
    <w:rsid w:val="004227C5"/>
    <w:rsid w:val="00422DBB"/>
    <w:rsid w:val="0042334A"/>
    <w:rsid w:val="00424900"/>
    <w:rsid w:val="00424C31"/>
    <w:rsid w:val="004250F7"/>
    <w:rsid w:val="004252F9"/>
    <w:rsid w:val="00425740"/>
    <w:rsid w:val="00426903"/>
    <w:rsid w:val="0042720A"/>
    <w:rsid w:val="0042768C"/>
    <w:rsid w:val="00427B77"/>
    <w:rsid w:val="00427DDB"/>
    <w:rsid w:val="00430024"/>
    <w:rsid w:val="00430049"/>
    <w:rsid w:val="00430280"/>
    <w:rsid w:val="00430C68"/>
    <w:rsid w:val="0043179A"/>
    <w:rsid w:val="00432E56"/>
    <w:rsid w:val="0043355B"/>
    <w:rsid w:val="004336BF"/>
    <w:rsid w:val="00433D9B"/>
    <w:rsid w:val="00433E31"/>
    <w:rsid w:val="004342CD"/>
    <w:rsid w:val="00434AC7"/>
    <w:rsid w:val="00434B1C"/>
    <w:rsid w:val="00434DBA"/>
    <w:rsid w:val="004357FF"/>
    <w:rsid w:val="00435941"/>
    <w:rsid w:val="004359A9"/>
    <w:rsid w:val="00436924"/>
    <w:rsid w:val="00436C87"/>
    <w:rsid w:val="00437BC6"/>
    <w:rsid w:val="004404C5"/>
    <w:rsid w:val="00440664"/>
    <w:rsid w:val="00440983"/>
    <w:rsid w:val="00441484"/>
    <w:rsid w:val="00441946"/>
    <w:rsid w:val="004419C7"/>
    <w:rsid w:val="00441E43"/>
    <w:rsid w:val="00442216"/>
    <w:rsid w:val="0044244D"/>
    <w:rsid w:val="00442F42"/>
    <w:rsid w:val="004435B0"/>
    <w:rsid w:val="00444B4C"/>
    <w:rsid w:val="00445AFC"/>
    <w:rsid w:val="00446409"/>
    <w:rsid w:val="004465AC"/>
    <w:rsid w:val="00446614"/>
    <w:rsid w:val="00446B48"/>
    <w:rsid w:val="00447698"/>
    <w:rsid w:val="00447A25"/>
    <w:rsid w:val="00447F1C"/>
    <w:rsid w:val="0044F2FA"/>
    <w:rsid w:val="004501C2"/>
    <w:rsid w:val="004504F6"/>
    <w:rsid w:val="00450519"/>
    <w:rsid w:val="004506F0"/>
    <w:rsid w:val="004509DD"/>
    <w:rsid w:val="00450D43"/>
    <w:rsid w:val="004517A8"/>
    <w:rsid w:val="00452229"/>
    <w:rsid w:val="004528D6"/>
    <w:rsid w:val="00452F7E"/>
    <w:rsid w:val="004536FD"/>
    <w:rsid w:val="00453CB1"/>
    <w:rsid w:val="00453D64"/>
    <w:rsid w:val="00453FBF"/>
    <w:rsid w:val="00454551"/>
    <w:rsid w:val="004546B6"/>
    <w:rsid w:val="004547B5"/>
    <w:rsid w:val="00454938"/>
    <w:rsid w:val="00454BFD"/>
    <w:rsid w:val="00455045"/>
    <w:rsid w:val="004553D3"/>
    <w:rsid w:val="00455B05"/>
    <w:rsid w:val="0045630D"/>
    <w:rsid w:val="004569ED"/>
    <w:rsid w:val="00456ADB"/>
    <w:rsid w:val="00456DB4"/>
    <w:rsid w:val="00456EA5"/>
    <w:rsid w:val="004573F1"/>
    <w:rsid w:val="00457CCD"/>
    <w:rsid w:val="00457D47"/>
    <w:rsid w:val="00460CBD"/>
    <w:rsid w:val="00460CBF"/>
    <w:rsid w:val="00461C41"/>
    <w:rsid w:val="0046201C"/>
    <w:rsid w:val="00462029"/>
    <w:rsid w:val="00462218"/>
    <w:rsid w:val="00462248"/>
    <w:rsid w:val="00462295"/>
    <w:rsid w:val="00462368"/>
    <w:rsid w:val="0046253B"/>
    <w:rsid w:val="004629A5"/>
    <w:rsid w:val="00462B83"/>
    <w:rsid w:val="00462F35"/>
    <w:rsid w:val="004631A8"/>
    <w:rsid w:val="00463550"/>
    <w:rsid w:val="0046399A"/>
    <w:rsid w:val="00463BBC"/>
    <w:rsid w:val="00463E01"/>
    <w:rsid w:val="00464181"/>
    <w:rsid w:val="004644C4"/>
    <w:rsid w:val="004650DB"/>
    <w:rsid w:val="004651A1"/>
    <w:rsid w:val="004653AF"/>
    <w:rsid w:val="0046638A"/>
    <w:rsid w:val="00466A7A"/>
    <w:rsid w:val="00466CC7"/>
    <w:rsid w:val="00467757"/>
    <w:rsid w:val="00467998"/>
    <w:rsid w:val="004679D1"/>
    <w:rsid w:val="00470EE9"/>
    <w:rsid w:val="00471552"/>
    <w:rsid w:val="004719F0"/>
    <w:rsid w:val="00471A16"/>
    <w:rsid w:val="00471F3C"/>
    <w:rsid w:val="0047249C"/>
    <w:rsid w:val="0047330B"/>
    <w:rsid w:val="00473ABD"/>
    <w:rsid w:val="00473B84"/>
    <w:rsid w:val="00473F99"/>
    <w:rsid w:val="004744F0"/>
    <w:rsid w:val="00475364"/>
    <w:rsid w:val="004753F7"/>
    <w:rsid w:val="00475BF0"/>
    <w:rsid w:val="004764B5"/>
    <w:rsid w:val="00476715"/>
    <w:rsid w:val="004768AF"/>
    <w:rsid w:val="00476A4C"/>
    <w:rsid w:val="00477562"/>
    <w:rsid w:val="004778A0"/>
    <w:rsid w:val="00477B06"/>
    <w:rsid w:val="00477F84"/>
    <w:rsid w:val="0048024C"/>
    <w:rsid w:val="00480F1B"/>
    <w:rsid w:val="00481038"/>
    <w:rsid w:val="00481AB4"/>
    <w:rsid w:val="00481FEC"/>
    <w:rsid w:val="004831C7"/>
    <w:rsid w:val="00483436"/>
    <w:rsid w:val="00484633"/>
    <w:rsid w:val="00484EF7"/>
    <w:rsid w:val="004854CD"/>
    <w:rsid w:val="004854D7"/>
    <w:rsid w:val="0048594B"/>
    <w:rsid w:val="00485FDD"/>
    <w:rsid w:val="0048612B"/>
    <w:rsid w:val="0048623B"/>
    <w:rsid w:val="00486723"/>
    <w:rsid w:val="004868BA"/>
    <w:rsid w:val="00486905"/>
    <w:rsid w:val="004869C0"/>
    <w:rsid w:val="00487624"/>
    <w:rsid w:val="00487CFE"/>
    <w:rsid w:val="00487F7A"/>
    <w:rsid w:val="004905BB"/>
    <w:rsid w:val="004905E3"/>
    <w:rsid w:val="0049079F"/>
    <w:rsid w:val="004909CA"/>
    <w:rsid w:val="00490B23"/>
    <w:rsid w:val="00490B34"/>
    <w:rsid w:val="00491168"/>
    <w:rsid w:val="00491224"/>
    <w:rsid w:val="00491AA3"/>
    <w:rsid w:val="00491B03"/>
    <w:rsid w:val="00491C43"/>
    <w:rsid w:val="00491D41"/>
    <w:rsid w:val="004924A0"/>
    <w:rsid w:val="004925B9"/>
    <w:rsid w:val="00492AEE"/>
    <w:rsid w:val="00493003"/>
    <w:rsid w:val="004930D3"/>
    <w:rsid w:val="00493171"/>
    <w:rsid w:val="00493271"/>
    <w:rsid w:val="004934B7"/>
    <w:rsid w:val="004936E3"/>
    <w:rsid w:val="004937EE"/>
    <w:rsid w:val="0049407F"/>
    <w:rsid w:val="00494313"/>
    <w:rsid w:val="00494703"/>
    <w:rsid w:val="004947FD"/>
    <w:rsid w:val="00494B3A"/>
    <w:rsid w:val="0049517D"/>
    <w:rsid w:val="00496756"/>
    <w:rsid w:val="00496909"/>
    <w:rsid w:val="00496D89"/>
    <w:rsid w:val="00496E65"/>
    <w:rsid w:val="0049734A"/>
    <w:rsid w:val="00497535"/>
    <w:rsid w:val="004977A9"/>
    <w:rsid w:val="004A060A"/>
    <w:rsid w:val="004A0D46"/>
    <w:rsid w:val="004A15F2"/>
    <w:rsid w:val="004A1B58"/>
    <w:rsid w:val="004A23DA"/>
    <w:rsid w:val="004A2556"/>
    <w:rsid w:val="004A275B"/>
    <w:rsid w:val="004A29D5"/>
    <w:rsid w:val="004A2A69"/>
    <w:rsid w:val="004A3150"/>
    <w:rsid w:val="004A3151"/>
    <w:rsid w:val="004A3376"/>
    <w:rsid w:val="004A3E8A"/>
    <w:rsid w:val="004A491C"/>
    <w:rsid w:val="004A4C11"/>
    <w:rsid w:val="004A51B8"/>
    <w:rsid w:val="004A5609"/>
    <w:rsid w:val="004A5FE8"/>
    <w:rsid w:val="004A6311"/>
    <w:rsid w:val="004A71E0"/>
    <w:rsid w:val="004A7219"/>
    <w:rsid w:val="004A78DB"/>
    <w:rsid w:val="004A7F26"/>
    <w:rsid w:val="004B08D7"/>
    <w:rsid w:val="004B0AB5"/>
    <w:rsid w:val="004B0B24"/>
    <w:rsid w:val="004B10D1"/>
    <w:rsid w:val="004B1493"/>
    <w:rsid w:val="004B15DF"/>
    <w:rsid w:val="004B1948"/>
    <w:rsid w:val="004B1F29"/>
    <w:rsid w:val="004B2534"/>
    <w:rsid w:val="004B25E6"/>
    <w:rsid w:val="004B26DF"/>
    <w:rsid w:val="004B291E"/>
    <w:rsid w:val="004B2B6C"/>
    <w:rsid w:val="004B2C24"/>
    <w:rsid w:val="004B3135"/>
    <w:rsid w:val="004B3140"/>
    <w:rsid w:val="004B3210"/>
    <w:rsid w:val="004B3FE1"/>
    <w:rsid w:val="004B437C"/>
    <w:rsid w:val="004B4380"/>
    <w:rsid w:val="004B459B"/>
    <w:rsid w:val="004B4DF9"/>
    <w:rsid w:val="004B56BC"/>
    <w:rsid w:val="004B6158"/>
    <w:rsid w:val="004B6463"/>
    <w:rsid w:val="004B66C7"/>
    <w:rsid w:val="004B674C"/>
    <w:rsid w:val="004B682C"/>
    <w:rsid w:val="004C0480"/>
    <w:rsid w:val="004C08FD"/>
    <w:rsid w:val="004C14F3"/>
    <w:rsid w:val="004C187C"/>
    <w:rsid w:val="004C215F"/>
    <w:rsid w:val="004C2389"/>
    <w:rsid w:val="004C26D2"/>
    <w:rsid w:val="004C2BA4"/>
    <w:rsid w:val="004C2F33"/>
    <w:rsid w:val="004C37CA"/>
    <w:rsid w:val="004C3E5E"/>
    <w:rsid w:val="004C3EEE"/>
    <w:rsid w:val="004C417F"/>
    <w:rsid w:val="004C42B8"/>
    <w:rsid w:val="004C4738"/>
    <w:rsid w:val="004C51F7"/>
    <w:rsid w:val="004C5414"/>
    <w:rsid w:val="004C589D"/>
    <w:rsid w:val="004C5E35"/>
    <w:rsid w:val="004C5E55"/>
    <w:rsid w:val="004C6455"/>
    <w:rsid w:val="004C6BD4"/>
    <w:rsid w:val="004C6BDF"/>
    <w:rsid w:val="004C6F0D"/>
    <w:rsid w:val="004C7954"/>
    <w:rsid w:val="004C7974"/>
    <w:rsid w:val="004C7CAA"/>
    <w:rsid w:val="004D07E7"/>
    <w:rsid w:val="004D0870"/>
    <w:rsid w:val="004D099B"/>
    <w:rsid w:val="004D11BE"/>
    <w:rsid w:val="004D16BF"/>
    <w:rsid w:val="004D196E"/>
    <w:rsid w:val="004D23CA"/>
    <w:rsid w:val="004D262D"/>
    <w:rsid w:val="004D29B4"/>
    <w:rsid w:val="004D2CF8"/>
    <w:rsid w:val="004D4067"/>
    <w:rsid w:val="004D46F0"/>
    <w:rsid w:val="004D48E3"/>
    <w:rsid w:val="004D5BC7"/>
    <w:rsid w:val="004D5F7A"/>
    <w:rsid w:val="004D60A8"/>
    <w:rsid w:val="004D60EA"/>
    <w:rsid w:val="004D64C8"/>
    <w:rsid w:val="004D6CDB"/>
    <w:rsid w:val="004D723B"/>
    <w:rsid w:val="004D7765"/>
    <w:rsid w:val="004D7806"/>
    <w:rsid w:val="004E0FC2"/>
    <w:rsid w:val="004E1592"/>
    <w:rsid w:val="004E1687"/>
    <w:rsid w:val="004E2597"/>
    <w:rsid w:val="004E2B40"/>
    <w:rsid w:val="004E2F26"/>
    <w:rsid w:val="004E3600"/>
    <w:rsid w:val="004E3B6D"/>
    <w:rsid w:val="004E3DAE"/>
    <w:rsid w:val="004E4075"/>
    <w:rsid w:val="004E44FC"/>
    <w:rsid w:val="004E46B1"/>
    <w:rsid w:val="004E477F"/>
    <w:rsid w:val="004E4E4C"/>
    <w:rsid w:val="004E5C94"/>
    <w:rsid w:val="004E5E3E"/>
    <w:rsid w:val="004E5F53"/>
    <w:rsid w:val="004E6D40"/>
    <w:rsid w:val="004E771D"/>
    <w:rsid w:val="004E7B07"/>
    <w:rsid w:val="004E7E05"/>
    <w:rsid w:val="004F002C"/>
    <w:rsid w:val="004F0196"/>
    <w:rsid w:val="004F01D3"/>
    <w:rsid w:val="004F06B6"/>
    <w:rsid w:val="004F0E3A"/>
    <w:rsid w:val="004F1ADD"/>
    <w:rsid w:val="004F23E9"/>
    <w:rsid w:val="004F248D"/>
    <w:rsid w:val="004F2511"/>
    <w:rsid w:val="004F2999"/>
    <w:rsid w:val="004F2B6E"/>
    <w:rsid w:val="004F2EC7"/>
    <w:rsid w:val="004F36A6"/>
    <w:rsid w:val="004F391C"/>
    <w:rsid w:val="004F43D4"/>
    <w:rsid w:val="004F450E"/>
    <w:rsid w:val="004F453A"/>
    <w:rsid w:val="004F4612"/>
    <w:rsid w:val="004F4D87"/>
    <w:rsid w:val="004F5D41"/>
    <w:rsid w:val="004F5EB3"/>
    <w:rsid w:val="004F5EC0"/>
    <w:rsid w:val="004F67F6"/>
    <w:rsid w:val="004F6A6C"/>
    <w:rsid w:val="004F6D8B"/>
    <w:rsid w:val="005002B9"/>
    <w:rsid w:val="005005AD"/>
    <w:rsid w:val="005018B2"/>
    <w:rsid w:val="00501DE4"/>
    <w:rsid w:val="00501E3A"/>
    <w:rsid w:val="00502272"/>
    <w:rsid w:val="0050236B"/>
    <w:rsid w:val="00502445"/>
    <w:rsid w:val="00502544"/>
    <w:rsid w:val="0050260C"/>
    <w:rsid w:val="00502B7F"/>
    <w:rsid w:val="00503802"/>
    <w:rsid w:val="00503B26"/>
    <w:rsid w:val="00505F2A"/>
    <w:rsid w:val="00505FF1"/>
    <w:rsid w:val="0050644D"/>
    <w:rsid w:val="00506560"/>
    <w:rsid w:val="00506960"/>
    <w:rsid w:val="00506B4E"/>
    <w:rsid w:val="00506DFC"/>
    <w:rsid w:val="0050726B"/>
    <w:rsid w:val="00507694"/>
    <w:rsid w:val="00507DBA"/>
    <w:rsid w:val="0051008C"/>
    <w:rsid w:val="005106E8"/>
    <w:rsid w:val="005109A5"/>
    <w:rsid w:val="005111DB"/>
    <w:rsid w:val="00511442"/>
    <w:rsid w:val="005116A5"/>
    <w:rsid w:val="00511726"/>
    <w:rsid w:val="005123E2"/>
    <w:rsid w:val="00512482"/>
    <w:rsid w:val="005127F2"/>
    <w:rsid w:val="00512839"/>
    <w:rsid w:val="00512AD4"/>
    <w:rsid w:val="00512DB9"/>
    <w:rsid w:val="00513535"/>
    <w:rsid w:val="005144C5"/>
    <w:rsid w:val="005148EC"/>
    <w:rsid w:val="00515AFD"/>
    <w:rsid w:val="00516C0C"/>
    <w:rsid w:val="005177AC"/>
    <w:rsid w:val="00517BA8"/>
    <w:rsid w:val="00520CE6"/>
    <w:rsid w:val="005219F2"/>
    <w:rsid w:val="00521E41"/>
    <w:rsid w:val="0052286C"/>
    <w:rsid w:val="005231E4"/>
    <w:rsid w:val="00523756"/>
    <w:rsid w:val="00523FDB"/>
    <w:rsid w:val="0052460F"/>
    <w:rsid w:val="00524F9A"/>
    <w:rsid w:val="00525252"/>
    <w:rsid w:val="00525361"/>
    <w:rsid w:val="00525CBB"/>
    <w:rsid w:val="00525DC9"/>
    <w:rsid w:val="00525F88"/>
    <w:rsid w:val="005262E8"/>
    <w:rsid w:val="00526338"/>
    <w:rsid w:val="00526A21"/>
    <w:rsid w:val="00526D58"/>
    <w:rsid w:val="00526E55"/>
    <w:rsid w:val="00526F42"/>
    <w:rsid w:val="00527119"/>
    <w:rsid w:val="00527214"/>
    <w:rsid w:val="0052772E"/>
    <w:rsid w:val="005279BE"/>
    <w:rsid w:val="00527BD0"/>
    <w:rsid w:val="0052CC08"/>
    <w:rsid w:val="00530667"/>
    <w:rsid w:val="005306AE"/>
    <w:rsid w:val="00530AD7"/>
    <w:rsid w:val="0053145F"/>
    <w:rsid w:val="005316D5"/>
    <w:rsid w:val="00532181"/>
    <w:rsid w:val="0053229F"/>
    <w:rsid w:val="005327D6"/>
    <w:rsid w:val="0053282B"/>
    <w:rsid w:val="00532C81"/>
    <w:rsid w:val="00533546"/>
    <w:rsid w:val="00533F8D"/>
    <w:rsid w:val="0053440E"/>
    <w:rsid w:val="0053480B"/>
    <w:rsid w:val="00534AD8"/>
    <w:rsid w:val="00535102"/>
    <w:rsid w:val="0053557E"/>
    <w:rsid w:val="00535D03"/>
    <w:rsid w:val="005360D8"/>
    <w:rsid w:val="005360FB"/>
    <w:rsid w:val="005364B5"/>
    <w:rsid w:val="00536962"/>
    <w:rsid w:val="00536A9F"/>
    <w:rsid w:val="005371C1"/>
    <w:rsid w:val="005373FF"/>
    <w:rsid w:val="005374E5"/>
    <w:rsid w:val="0053772F"/>
    <w:rsid w:val="005378B8"/>
    <w:rsid w:val="00537E56"/>
    <w:rsid w:val="00540D82"/>
    <w:rsid w:val="00541060"/>
    <w:rsid w:val="0054111F"/>
    <w:rsid w:val="0054114D"/>
    <w:rsid w:val="005419EF"/>
    <w:rsid w:val="00541A50"/>
    <w:rsid w:val="00541D71"/>
    <w:rsid w:val="00541DBC"/>
    <w:rsid w:val="00542651"/>
    <w:rsid w:val="00542EA8"/>
    <w:rsid w:val="005434AD"/>
    <w:rsid w:val="00544329"/>
    <w:rsid w:val="00544702"/>
    <w:rsid w:val="00544CEE"/>
    <w:rsid w:val="00544DB2"/>
    <w:rsid w:val="0054530E"/>
    <w:rsid w:val="005455F1"/>
    <w:rsid w:val="0054586F"/>
    <w:rsid w:val="00545ABF"/>
    <w:rsid w:val="0054640A"/>
    <w:rsid w:val="005471CC"/>
    <w:rsid w:val="0054744F"/>
    <w:rsid w:val="005478D8"/>
    <w:rsid w:val="00547D82"/>
    <w:rsid w:val="0055017D"/>
    <w:rsid w:val="005506B4"/>
    <w:rsid w:val="005507C8"/>
    <w:rsid w:val="00550B54"/>
    <w:rsid w:val="005517E5"/>
    <w:rsid w:val="005520CB"/>
    <w:rsid w:val="00552209"/>
    <w:rsid w:val="00552287"/>
    <w:rsid w:val="005532DB"/>
    <w:rsid w:val="0055363F"/>
    <w:rsid w:val="0055440D"/>
    <w:rsid w:val="005545E7"/>
    <w:rsid w:val="0055471B"/>
    <w:rsid w:val="00555CF4"/>
    <w:rsid w:val="00556197"/>
    <w:rsid w:val="00557615"/>
    <w:rsid w:val="005576A3"/>
    <w:rsid w:val="005577C2"/>
    <w:rsid w:val="00557B16"/>
    <w:rsid w:val="005601F4"/>
    <w:rsid w:val="00560796"/>
    <w:rsid w:val="00560CDB"/>
    <w:rsid w:val="00560E1A"/>
    <w:rsid w:val="00561212"/>
    <w:rsid w:val="0056272C"/>
    <w:rsid w:val="00562B88"/>
    <w:rsid w:val="0056316B"/>
    <w:rsid w:val="00563801"/>
    <w:rsid w:val="005639C5"/>
    <w:rsid w:val="00564503"/>
    <w:rsid w:val="00564F0E"/>
    <w:rsid w:val="00564F9B"/>
    <w:rsid w:val="005653A9"/>
    <w:rsid w:val="00565755"/>
    <w:rsid w:val="00565BC5"/>
    <w:rsid w:val="00565E1F"/>
    <w:rsid w:val="0056638E"/>
    <w:rsid w:val="005663BB"/>
    <w:rsid w:val="005664E1"/>
    <w:rsid w:val="00566ACA"/>
    <w:rsid w:val="005672E3"/>
    <w:rsid w:val="005673A6"/>
    <w:rsid w:val="005673FE"/>
    <w:rsid w:val="0056751A"/>
    <w:rsid w:val="00567D93"/>
    <w:rsid w:val="0057001A"/>
    <w:rsid w:val="005703E6"/>
    <w:rsid w:val="005709E6"/>
    <w:rsid w:val="00570A76"/>
    <w:rsid w:val="00570D39"/>
    <w:rsid w:val="00570ECF"/>
    <w:rsid w:val="00570F22"/>
    <w:rsid w:val="005714E2"/>
    <w:rsid w:val="0057192E"/>
    <w:rsid w:val="00571E4B"/>
    <w:rsid w:val="00571F15"/>
    <w:rsid w:val="00571FB1"/>
    <w:rsid w:val="00572219"/>
    <w:rsid w:val="00572FF7"/>
    <w:rsid w:val="00573196"/>
    <w:rsid w:val="00574FED"/>
    <w:rsid w:val="0057531A"/>
    <w:rsid w:val="00575690"/>
    <w:rsid w:val="0057657D"/>
    <w:rsid w:val="00577203"/>
    <w:rsid w:val="00577895"/>
    <w:rsid w:val="00580180"/>
    <w:rsid w:val="00580720"/>
    <w:rsid w:val="00580826"/>
    <w:rsid w:val="005808E1"/>
    <w:rsid w:val="00580DA2"/>
    <w:rsid w:val="00581122"/>
    <w:rsid w:val="0058172E"/>
    <w:rsid w:val="00581D10"/>
    <w:rsid w:val="005823BF"/>
    <w:rsid w:val="00582893"/>
    <w:rsid w:val="005828EE"/>
    <w:rsid w:val="00582B2F"/>
    <w:rsid w:val="00582D7F"/>
    <w:rsid w:val="0058338F"/>
    <w:rsid w:val="00583919"/>
    <w:rsid w:val="00583F12"/>
    <w:rsid w:val="0058430D"/>
    <w:rsid w:val="0058466B"/>
    <w:rsid w:val="0058554B"/>
    <w:rsid w:val="00585A74"/>
    <w:rsid w:val="00585B72"/>
    <w:rsid w:val="00586185"/>
    <w:rsid w:val="00586186"/>
    <w:rsid w:val="0058620C"/>
    <w:rsid w:val="00586313"/>
    <w:rsid w:val="00586591"/>
    <w:rsid w:val="005868C1"/>
    <w:rsid w:val="00586A89"/>
    <w:rsid w:val="00586C09"/>
    <w:rsid w:val="0058701B"/>
    <w:rsid w:val="00587050"/>
    <w:rsid w:val="00587081"/>
    <w:rsid w:val="005873CE"/>
    <w:rsid w:val="005873EF"/>
    <w:rsid w:val="00587CF2"/>
    <w:rsid w:val="0059062E"/>
    <w:rsid w:val="00590987"/>
    <w:rsid w:val="00590FA5"/>
    <w:rsid w:val="00590FCE"/>
    <w:rsid w:val="0059122F"/>
    <w:rsid w:val="00591445"/>
    <w:rsid w:val="005914A5"/>
    <w:rsid w:val="0059197B"/>
    <w:rsid w:val="00591E07"/>
    <w:rsid w:val="00592074"/>
    <w:rsid w:val="00592613"/>
    <w:rsid w:val="005926E4"/>
    <w:rsid w:val="005926F9"/>
    <w:rsid w:val="005928DF"/>
    <w:rsid w:val="00592FE8"/>
    <w:rsid w:val="0059364E"/>
    <w:rsid w:val="00593688"/>
    <w:rsid w:val="00593C30"/>
    <w:rsid w:val="00594C27"/>
    <w:rsid w:val="0059541C"/>
    <w:rsid w:val="0059552C"/>
    <w:rsid w:val="00595D7E"/>
    <w:rsid w:val="005965FB"/>
    <w:rsid w:val="0059660D"/>
    <w:rsid w:val="00596917"/>
    <w:rsid w:val="00596E2A"/>
    <w:rsid w:val="00596E99"/>
    <w:rsid w:val="0059752F"/>
    <w:rsid w:val="0059768F"/>
    <w:rsid w:val="00597D7E"/>
    <w:rsid w:val="005A1FFF"/>
    <w:rsid w:val="005A2079"/>
    <w:rsid w:val="005A266F"/>
    <w:rsid w:val="005A2829"/>
    <w:rsid w:val="005A2E69"/>
    <w:rsid w:val="005A34F6"/>
    <w:rsid w:val="005A3886"/>
    <w:rsid w:val="005A388A"/>
    <w:rsid w:val="005A3C7F"/>
    <w:rsid w:val="005A4041"/>
    <w:rsid w:val="005A42ED"/>
    <w:rsid w:val="005A4327"/>
    <w:rsid w:val="005A4CDE"/>
    <w:rsid w:val="005A51A6"/>
    <w:rsid w:val="005A57CF"/>
    <w:rsid w:val="005A5ADD"/>
    <w:rsid w:val="005A628C"/>
    <w:rsid w:val="005A64DD"/>
    <w:rsid w:val="005A6F89"/>
    <w:rsid w:val="005A726D"/>
    <w:rsid w:val="005B0515"/>
    <w:rsid w:val="005B065A"/>
    <w:rsid w:val="005B07A0"/>
    <w:rsid w:val="005B094F"/>
    <w:rsid w:val="005B1580"/>
    <w:rsid w:val="005B1606"/>
    <w:rsid w:val="005B2371"/>
    <w:rsid w:val="005B23E3"/>
    <w:rsid w:val="005B2CAF"/>
    <w:rsid w:val="005B2EAB"/>
    <w:rsid w:val="005B367D"/>
    <w:rsid w:val="005B38E2"/>
    <w:rsid w:val="005B3B1C"/>
    <w:rsid w:val="005B3BC9"/>
    <w:rsid w:val="005B480D"/>
    <w:rsid w:val="005B4A99"/>
    <w:rsid w:val="005B4BDE"/>
    <w:rsid w:val="005B50F6"/>
    <w:rsid w:val="005B5177"/>
    <w:rsid w:val="005B56FF"/>
    <w:rsid w:val="005B57AF"/>
    <w:rsid w:val="005B5AAC"/>
    <w:rsid w:val="005B5EDD"/>
    <w:rsid w:val="005B62F7"/>
    <w:rsid w:val="005B6789"/>
    <w:rsid w:val="005B6B85"/>
    <w:rsid w:val="005B6DCF"/>
    <w:rsid w:val="005B7047"/>
    <w:rsid w:val="005B71BE"/>
    <w:rsid w:val="005B760E"/>
    <w:rsid w:val="005B763A"/>
    <w:rsid w:val="005B7E3F"/>
    <w:rsid w:val="005C00FC"/>
    <w:rsid w:val="005C0999"/>
    <w:rsid w:val="005C0A2D"/>
    <w:rsid w:val="005C0B30"/>
    <w:rsid w:val="005C1A16"/>
    <w:rsid w:val="005C2C02"/>
    <w:rsid w:val="005C3660"/>
    <w:rsid w:val="005C4491"/>
    <w:rsid w:val="005C45B6"/>
    <w:rsid w:val="005C480D"/>
    <w:rsid w:val="005C4A79"/>
    <w:rsid w:val="005C5351"/>
    <w:rsid w:val="005C5D5D"/>
    <w:rsid w:val="005C5E62"/>
    <w:rsid w:val="005C6987"/>
    <w:rsid w:val="005C745E"/>
    <w:rsid w:val="005C79E9"/>
    <w:rsid w:val="005D0F95"/>
    <w:rsid w:val="005D201B"/>
    <w:rsid w:val="005D31C1"/>
    <w:rsid w:val="005D326A"/>
    <w:rsid w:val="005D3455"/>
    <w:rsid w:val="005D424E"/>
    <w:rsid w:val="005D44E0"/>
    <w:rsid w:val="005D48A0"/>
    <w:rsid w:val="005D4E16"/>
    <w:rsid w:val="005D597B"/>
    <w:rsid w:val="005D5E34"/>
    <w:rsid w:val="005D600F"/>
    <w:rsid w:val="005D614F"/>
    <w:rsid w:val="005D634A"/>
    <w:rsid w:val="005D6A4D"/>
    <w:rsid w:val="005D6B1A"/>
    <w:rsid w:val="005D6F94"/>
    <w:rsid w:val="005D729B"/>
    <w:rsid w:val="005D736C"/>
    <w:rsid w:val="005D77F2"/>
    <w:rsid w:val="005D7CF0"/>
    <w:rsid w:val="005D7E95"/>
    <w:rsid w:val="005D7FF8"/>
    <w:rsid w:val="005E028A"/>
    <w:rsid w:val="005E1000"/>
    <w:rsid w:val="005E13AC"/>
    <w:rsid w:val="005E1433"/>
    <w:rsid w:val="005E1819"/>
    <w:rsid w:val="005E21FA"/>
    <w:rsid w:val="005E2596"/>
    <w:rsid w:val="005E268C"/>
    <w:rsid w:val="005E2A2B"/>
    <w:rsid w:val="005E2F49"/>
    <w:rsid w:val="005E3969"/>
    <w:rsid w:val="005E39A3"/>
    <w:rsid w:val="005E3A58"/>
    <w:rsid w:val="005E40EE"/>
    <w:rsid w:val="005E439D"/>
    <w:rsid w:val="005E459B"/>
    <w:rsid w:val="005E5551"/>
    <w:rsid w:val="005E587F"/>
    <w:rsid w:val="005E58E6"/>
    <w:rsid w:val="005E64C7"/>
    <w:rsid w:val="005E6532"/>
    <w:rsid w:val="005E680F"/>
    <w:rsid w:val="005E6DAA"/>
    <w:rsid w:val="005E6EA3"/>
    <w:rsid w:val="005E6EED"/>
    <w:rsid w:val="005E7A6D"/>
    <w:rsid w:val="005F05D1"/>
    <w:rsid w:val="005F0863"/>
    <w:rsid w:val="005F0A42"/>
    <w:rsid w:val="005F173F"/>
    <w:rsid w:val="005F175E"/>
    <w:rsid w:val="005F18A3"/>
    <w:rsid w:val="005F2E59"/>
    <w:rsid w:val="005F31CB"/>
    <w:rsid w:val="005F343D"/>
    <w:rsid w:val="005F388E"/>
    <w:rsid w:val="005F4A23"/>
    <w:rsid w:val="005F58A2"/>
    <w:rsid w:val="005F5FEE"/>
    <w:rsid w:val="005F6151"/>
    <w:rsid w:val="005F682C"/>
    <w:rsid w:val="005F6E72"/>
    <w:rsid w:val="005F6FAE"/>
    <w:rsid w:val="005F6FFB"/>
    <w:rsid w:val="005F77F0"/>
    <w:rsid w:val="006002D8"/>
    <w:rsid w:val="00600B82"/>
    <w:rsid w:val="00600D77"/>
    <w:rsid w:val="00600ED6"/>
    <w:rsid w:val="00601108"/>
    <w:rsid w:val="0060143A"/>
    <w:rsid w:val="006019CD"/>
    <w:rsid w:val="00601F4F"/>
    <w:rsid w:val="00602103"/>
    <w:rsid w:val="006028BD"/>
    <w:rsid w:val="00602BCA"/>
    <w:rsid w:val="00602BF9"/>
    <w:rsid w:val="00602F8F"/>
    <w:rsid w:val="006030AB"/>
    <w:rsid w:val="00603321"/>
    <w:rsid w:val="00603D07"/>
    <w:rsid w:val="00603E99"/>
    <w:rsid w:val="006040D8"/>
    <w:rsid w:val="006042BC"/>
    <w:rsid w:val="0060438E"/>
    <w:rsid w:val="006046B5"/>
    <w:rsid w:val="00604BAE"/>
    <w:rsid w:val="00604F68"/>
    <w:rsid w:val="006050A2"/>
    <w:rsid w:val="00605182"/>
    <w:rsid w:val="0060522B"/>
    <w:rsid w:val="006053EB"/>
    <w:rsid w:val="006053FB"/>
    <w:rsid w:val="006054B2"/>
    <w:rsid w:val="00605595"/>
    <w:rsid w:val="00605746"/>
    <w:rsid w:val="0060580F"/>
    <w:rsid w:val="00605AE3"/>
    <w:rsid w:val="006060AD"/>
    <w:rsid w:val="0060652D"/>
    <w:rsid w:val="00606730"/>
    <w:rsid w:val="00606937"/>
    <w:rsid w:val="0060695C"/>
    <w:rsid w:val="00606DAF"/>
    <w:rsid w:val="00607723"/>
    <w:rsid w:val="00607B8C"/>
    <w:rsid w:val="00607C58"/>
    <w:rsid w:val="00607DC0"/>
    <w:rsid w:val="0061024F"/>
    <w:rsid w:val="00610483"/>
    <w:rsid w:val="006104A6"/>
    <w:rsid w:val="00610D46"/>
    <w:rsid w:val="00611B27"/>
    <w:rsid w:val="00611E0A"/>
    <w:rsid w:val="006122BE"/>
    <w:rsid w:val="006126DB"/>
    <w:rsid w:val="00612890"/>
    <w:rsid w:val="006131D2"/>
    <w:rsid w:val="00613404"/>
    <w:rsid w:val="006134A3"/>
    <w:rsid w:val="00613ECC"/>
    <w:rsid w:val="0061413A"/>
    <w:rsid w:val="006142C6"/>
    <w:rsid w:val="00615202"/>
    <w:rsid w:val="00615558"/>
    <w:rsid w:val="00615686"/>
    <w:rsid w:val="00615DD5"/>
    <w:rsid w:val="00615F5D"/>
    <w:rsid w:val="00616027"/>
    <w:rsid w:val="00616142"/>
    <w:rsid w:val="0061618D"/>
    <w:rsid w:val="006162CF"/>
    <w:rsid w:val="00616C9F"/>
    <w:rsid w:val="00616EA5"/>
    <w:rsid w:val="00616EF7"/>
    <w:rsid w:val="00617218"/>
    <w:rsid w:val="00617938"/>
    <w:rsid w:val="00617B89"/>
    <w:rsid w:val="00620309"/>
    <w:rsid w:val="006206D0"/>
    <w:rsid w:val="0062122F"/>
    <w:rsid w:val="006212FC"/>
    <w:rsid w:val="00621476"/>
    <w:rsid w:val="00621806"/>
    <w:rsid w:val="00621876"/>
    <w:rsid w:val="00621B5D"/>
    <w:rsid w:val="00621D9D"/>
    <w:rsid w:val="00622491"/>
    <w:rsid w:val="006226CA"/>
    <w:rsid w:val="00622703"/>
    <w:rsid w:val="006231A7"/>
    <w:rsid w:val="00623519"/>
    <w:rsid w:val="00623B12"/>
    <w:rsid w:val="00623F4C"/>
    <w:rsid w:val="006240B3"/>
    <w:rsid w:val="00624730"/>
    <w:rsid w:val="00625751"/>
    <w:rsid w:val="006258E5"/>
    <w:rsid w:val="0062625C"/>
    <w:rsid w:val="00626F69"/>
    <w:rsid w:val="00627178"/>
    <w:rsid w:val="0062743A"/>
    <w:rsid w:val="0062754C"/>
    <w:rsid w:val="00627584"/>
    <w:rsid w:val="006275CD"/>
    <w:rsid w:val="00627E36"/>
    <w:rsid w:val="0063013C"/>
    <w:rsid w:val="006303A5"/>
    <w:rsid w:val="0063057C"/>
    <w:rsid w:val="00630B51"/>
    <w:rsid w:val="00630BEB"/>
    <w:rsid w:val="006319F6"/>
    <w:rsid w:val="00632557"/>
    <w:rsid w:val="00632626"/>
    <w:rsid w:val="00632B39"/>
    <w:rsid w:val="00632C5C"/>
    <w:rsid w:val="00632D2A"/>
    <w:rsid w:val="00633289"/>
    <w:rsid w:val="00633790"/>
    <w:rsid w:val="00633D10"/>
    <w:rsid w:val="00633E30"/>
    <w:rsid w:val="0063473E"/>
    <w:rsid w:val="006349C4"/>
    <w:rsid w:val="00634C99"/>
    <w:rsid w:val="00634E86"/>
    <w:rsid w:val="006350BF"/>
    <w:rsid w:val="006354C4"/>
    <w:rsid w:val="00635861"/>
    <w:rsid w:val="0063619C"/>
    <w:rsid w:val="00636570"/>
    <w:rsid w:val="0063766F"/>
    <w:rsid w:val="00637AF5"/>
    <w:rsid w:val="00637B80"/>
    <w:rsid w:val="00637E73"/>
    <w:rsid w:val="00640243"/>
    <w:rsid w:val="0064028A"/>
    <w:rsid w:val="00640625"/>
    <w:rsid w:val="006411CD"/>
    <w:rsid w:val="00641234"/>
    <w:rsid w:val="00641BC0"/>
    <w:rsid w:val="00641FEB"/>
    <w:rsid w:val="00642397"/>
    <w:rsid w:val="0064246B"/>
    <w:rsid w:val="00642B29"/>
    <w:rsid w:val="006435E0"/>
    <w:rsid w:val="006435E9"/>
    <w:rsid w:val="00643E50"/>
    <w:rsid w:val="00644D73"/>
    <w:rsid w:val="00644DF7"/>
    <w:rsid w:val="00644DFD"/>
    <w:rsid w:val="006455C5"/>
    <w:rsid w:val="00645861"/>
    <w:rsid w:val="00645C98"/>
    <w:rsid w:val="006461D2"/>
    <w:rsid w:val="00646E22"/>
    <w:rsid w:val="0064714E"/>
    <w:rsid w:val="0064742B"/>
    <w:rsid w:val="00647C5E"/>
    <w:rsid w:val="00647F99"/>
    <w:rsid w:val="006503E1"/>
    <w:rsid w:val="006508C5"/>
    <w:rsid w:val="00650947"/>
    <w:rsid w:val="006514F8"/>
    <w:rsid w:val="00651AFF"/>
    <w:rsid w:val="00652B2F"/>
    <w:rsid w:val="00652C20"/>
    <w:rsid w:val="006530DB"/>
    <w:rsid w:val="00653343"/>
    <w:rsid w:val="006537DD"/>
    <w:rsid w:val="006538DC"/>
    <w:rsid w:val="006540C8"/>
    <w:rsid w:val="0065411C"/>
    <w:rsid w:val="00654ADB"/>
    <w:rsid w:val="00654D18"/>
    <w:rsid w:val="00654E93"/>
    <w:rsid w:val="006553BE"/>
    <w:rsid w:val="006555A8"/>
    <w:rsid w:val="0065579B"/>
    <w:rsid w:val="0065596E"/>
    <w:rsid w:val="00655DE4"/>
    <w:rsid w:val="0065608E"/>
    <w:rsid w:val="006562C9"/>
    <w:rsid w:val="00656C9E"/>
    <w:rsid w:val="00657881"/>
    <w:rsid w:val="00657AF9"/>
    <w:rsid w:val="00657D2F"/>
    <w:rsid w:val="00657D3F"/>
    <w:rsid w:val="00657F64"/>
    <w:rsid w:val="00660873"/>
    <w:rsid w:val="0066098F"/>
    <w:rsid w:val="00660A95"/>
    <w:rsid w:val="00660B5A"/>
    <w:rsid w:val="00661403"/>
    <w:rsid w:val="006614F9"/>
    <w:rsid w:val="006615FD"/>
    <w:rsid w:val="006616DE"/>
    <w:rsid w:val="00661725"/>
    <w:rsid w:val="006619B1"/>
    <w:rsid w:val="00662011"/>
    <w:rsid w:val="006628B8"/>
    <w:rsid w:val="00662D3C"/>
    <w:rsid w:val="00663366"/>
    <w:rsid w:val="00663B68"/>
    <w:rsid w:val="006644C6"/>
    <w:rsid w:val="006644EB"/>
    <w:rsid w:val="0066568C"/>
    <w:rsid w:val="006657E3"/>
    <w:rsid w:val="00665C3A"/>
    <w:rsid w:val="00665F42"/>
    <w:rsid w:val="006661B0"/>
    <w:rsid w:val="006662DD"/>
    <w:rsid w:val="00666D5B"/>
    <w:rsid w:val="00666E1C"/>
    <w:rsid w:val="0066765A"/>
    <w:rsid w:val="006677D5"/>
    <w:rsid w:val="00667934"/>
    <w:rsid w:val="00667F85"/>
    <w:rsid w:val="00667FBE"/>
    <w:rsid w:val="00670310"/>
    <w:rsid w:val="00670350"/>
    <w:rsid w:val="006704F3"/>
    <w:rsid w:val="00670CC1"/>
    <w:rsid w:val="00670D6B"/>
    <w:rsid w:val="00671242"/>
    <w:rsid w:val="006719B7"/>
    <w:rsid w:val="00671AF9"/>
    <w:rsid w:val="00671BB9"/>
    <w:rsid w:val="00671BCA"/>
    <w:rsid w:val="006724B3"/>
    <w:rsid w:val="00673770"/>
    <w:rsid w:val="00674665"/>
    <w:rsid w:val="00674D9D"/>
    <w:rsid w:val="006758D0"/>
    <w:rsid w:val="00675EFE"/>
    <w:rsid w:val="00675F81"/>
    <w:rsid w:val="006767CE"/>
    <w:rsid w:val="00677A81"/>
    <w:rsid w:val="00677C84"/>
    <w:rsid w:val="00680695"/>
    <w:rsid w:val="00681200"/>
    <w:rsid w:val="00682201"/>
    <w:rsid w:val="0068222D"/>
    <w:rsid w:val="00682D4F"/>
    <w:rsid w:val="006830DF"/>
    <w:rsid w:val="006834FF"/>
    <w:rsid w:val="006835BF"/>
    <w:rsid w:val="00683AE6"/>
    <w:rsid w:val="00683D12"/>
    <w:rsid w:val="00684076"/>
    <w:rsid w:val="00684218"/>
    <w:rsid w:val="006846FC"/>
    <w:rsid w:val="006847AB"/>
    <w:rsid w:val="006852D8"/>
    <w:rsid w:val="0068570E"/>
    <w:rsid w:val="006857F5"/>
    <w:rsid w:val="006859B9"/>
    <w:rsid w:val="00686B67"/>
    <w:rsid w:val="00686C3A"/>
    <w:rsid w:val="0068712F"/>
    <w:rsid w:val="00687B66"/>
    <w:rsid w:val="00690A45"/>
    <w:rsid w:val="00690A7E"/>
    <w:rsid w:val="00690C8F"/>
    <w:rsid w:val="00690F6D"/>
    <w:rsid w:val="00691653"/>
    <w:rsid w:val="0069177C"/>
    <w:rsid w:val="00692523"/>
    <w:rsid w:val="0069267B"/>
    <w:rsid w:val="0069298E"/>
    <w:rsid w:val="0069311A"/>
    <w:rsid w:val="006939C0"/>
    <w:rsid w:val="00693B40"/>
    <w:rsid w:val="00693C6E"/>
    <w:rsid w:val="00693EAE"/>
    <w:rsid w:val="00693EFD"/>
    <w:rsid w:val="006942E3"/>
    <w:rsid w:val="00694332"/>
    <w:rsid w:val="0069486E"/>
    <w:rsid w:val="00694B09"/>
    <w:rsid w:val="0069590D"/>
    <w:rsid w:val="00695E3E"/>
    <w:rsid w:val="006961CB"/>
    <w:rsid w:val="006965FD"/>
    <w:rsid w:val="006968E8"/>
    <w:rsid w:val="00696E4B"/>
    <w:rsid w:val="006970F0"/>
    <w:rsid w:val="006A06B4"/>
    <w:rsid w:val="006A0CE0"/>
    <w:rsid w:val="006A10DD"/>
    <w:rsid w:val="006A12E9"/>
    <w:rsid w:val="006A1439"/>
    <w:rsid w:val="006A191A"/>
    <w:rsid w:val="006A1C98"/>
    <w:rsid w:val="006A23F9"/>
    <w:rsid w:val="006A2680"/>
    <w:rsid w:val="006A2A90"/>
    <w:rsid w:val="006A2AC7"/>
    <w:rsid w:val="006A2F66"/>
    <w:rsid w:val="006A2F93"/>
    <w:rsid w:val="006A2FF1"/>
    <w:rsid w:val="006A39A9"/>
    <w:rsid w:val="006A39DA"/>
    <w:rsid w:val="006A3E32"/>
    <w:rsid w:val="006A43E4"/>
    <w:rsid w:val="006A4439"/>
    <w:rsid w:val="006A4B7F"/>
    <w:rsid w:val="006A4E98"/>
    <w:rsid w:val="006A527A"/>
    <w:rsid w:val="006A5922"/>
    <w:rsid w:val="006A71C8"/>
    <w:rsid w:val="006A753B"/>
    <w:rsid w:val="006A762A"/>
    <w:rsid w:val="006A7721"/>
    <w:rsid w:val="006A7974"/>
    <w:rsid w:val="006A7B3F"/>
    <w:rsid w:val="006B013C"/>
    <w:rsid w:val="006B0153"/>
    <w:rsid w:val="006B08CB"/>
    <w:rsid w:val="006B0D7D"/>
    <w:rsid w:val="006B0DBF"/>
    <w:rsid w:val="006B0EEB"/>
    <w:rsid w:val="006B102B"/>
    <w:rsid w:val="006B1424"/>
    <w:rsid w:val="006B19C9"/>
    <w:rsid w:val="006B1EE4"/>
    <w:rsid w:val="006B206D"/>
    <w:rsid w:val="006B2FF7"/>
    <w:rsid w:val="006B30D5"/>
    <w:rsid w:val="006B3970"/>
    <w:rsid w:val="006B3BFE"/>
    <w:rsid w:val="006B442C"/>
    <w:rsid w:val="006B4445"/>
    <w:rsid w:val="006B4DFF"/>
    <w:rsid w:val="006B4E3D"/>
    <w:rsid w:val="006B5063"/>
    <w:rsid w:val="006B50EA"/>
    <w:rsid w:val="006B5525"/>
    <w:rsid w:val="006B555A"/>
    <w:rsid w:val="006B6094"/>
    <w:rsid w:val="006B633C"/>
    <w:rsid w:val="006B64CC"/>
    <w:rsid w:val="006B676B"/>
    <w:rsid w:val="006B6914"/>
    <w:rsid w:val="006B6AA3"/>
    <w:rsid w:val="006B7880"/>
    <w:rsid w:val="006B7A11"/>
    <w:rsid w:val="006B7B27"/>
    <w:rsid w:val="006B7E0B"/>
    <w:rsid w:val="006B7E3E"/>
    <w:rsid w:val="006C0108"/>
    <w:rsid w:val="006C0168"/>
    <w:rsid w:val="006C0447"/>
    <w:rsid w:val="006C074C"/>
    <w:rsid w:val="006C082C"/>
    <w:rsid w:val="006C08CE"/>
    <w:rsid w:val="006C0A83"/>
    <w:rsid w:val="006C0A89"/>
    <w:rsid w:val="006C0D46"/>
    <w:rsid w:val="006C0EE6"/>
    <w:rsid w:val="006C1C9B"/>
    <w:rsid w:val="006C1EA7"/>
    <w:rsid w:val="006C1EB3"/>
    <w:rsid w:val="006C2158"/>
    <w:rsid w:val="006C26C3"/>
    <w:rsid w:val="006C26C6"/>
    <w:rsid w:val="006C2732"/>
    <w:rsid w:val="006C2780"/>
    <w:rsid w:val="006C2CA4"/>
    <w:rsid w:val="006C2CBE"/>
    <w:rsid w:val="006C3563"/>
    <w:rsid w:val="006C3680"/>
    <w:rsid w:val="006C3E75"/>
    <w:rsid w:val="006C40ED"/>
    <w:rsid w:val="006C5365"/>
    <w:rsid w:val="006C541C"/>
    <w:rsid w:val="006C5BA9"/>
    <w:rsid w:val="006C5E93"/>
    <w:rsid w:val="006C5F76"/>
    <w:rsid w:val="006C6462"/>
    <w:rsid w:val="006D04C4"/>
    <w:rsid w:val="006D0761"/>
    <w:rsid w:val="006D0EA2"/>
    <w:rsid w:val="006D1340"/>
    <w:rsid w:val="006D1A86"/>
    <w:rsid w:val="006D2428"/>
    <w:rsid w:val="006D26C1"/>
    <w:rsid w:val="006D2B38"/>
    <w:rsid w:val="006D3454"/>
    <w:rsid w:val="006D3456"/>
    <w:rsid w:val="006D41CE"/>
    <w:rsid w:val="006D4378"/>
    <w:rsid w:val="006D49AF"/>
    <w:rsid w:val="006D4EE6"/>
    <w:rsid w:val="006D5077"/>
    <w:rsid w:val="006D5158"/>
    <w:rsid w:val="006D56FD"/>
    <w:rsid w:val="006D59F5"/>
    <w:rsid w:val="006D5F78"/>
    <w:rsid w:val="006D65D2"/>
    <w:rsid w:val="006D65FA"/>
    <w:rsid w:val="006D6C0F"/>
    <w:rsid w:val="006D6C27"/>
    <w:rsid w:val="006D6C92"/>
    <w:rsid w:val="006D6DB3"/>
    <w:rsid w:val="006D6DCC"/>
    <w:rsid w:val="006D6E5B"/>
    <w:rsid w:val="006D7228"/>
    <w:rsid w:val="006D7569"/>
    <w:rsid w:val="006D7B6D"/>
    <w:rsid w:val="006D7C1B"/>
    <w:rsid w:val="006D7E6F"/>
    <w:rsid w:val="006D7EE6"/>
    <w:rsid w:val="006E020E"/>
    <w:rsid w:val="006E027D"/>
    <w:rsid w:val="006E03A2"/>
    <w:rsid w:val="006E058A"/>
    <w:rsid w:val="006E06E2"/>
    <w:rsid w:val="006E0710"/>
    <w:rsid w:val="006E14EE"/>
    <w:rsid w:val="006E161B"/>
    <w:rsid w:val="006E1842"/>
    <w:rsid w:val="006E1CE4"/>
    <w:rsid w:val="006E1F34"/>
    <w:rsid w:val="006E21FD"/>
    <w:rsid w:val="006E2E59"/>
    <w:rsid w:val="006E2F73"/>
    <w:rsid w:val="006E392C"/>
    <w:rsid w:val="006E3A0F"/>
    <w:rsid w:val="006E3E3E"/>
    <w:rsid w:val="006E49A9"/>
    <w:rsid w:val="006E54DA"/>
    <w:rsid w:val="006E6155"/>
    <w:rsid w:val="006E6AC1"/>
    <w:rsid w:val="006E72D9"/>
    <w:rsid w:val="006E7451"/>
    <w:rsid w:val="006E7AC0"/>
    <w:rsid w:val="006F0661"/>
    <w:rsid w:val="006F0686"/>
    <w:rsid w:val="006F0805"/>
    <w:rsid w:val="006F0ACA"/>
    <w:rsid w:val="006F14B6"/>
    <w:rsid w:val="006F175E"/>
    <w:rsid w:val="006F1AC6"/>
    <w:rsid w:val="006F1D53"/>
    <w:rsid w:val="006F1E03"/>
    <w:rsid w:val="006F1F03"/>
    <w:rsid w:val="006F2ABA"/>
    <w:rsid w:val="006F2E06"/>
    <w:rsid w:val="006F2F62"/>
    <w:rsid w:val="006F3854"/>
    <w:rsid w:val="006F437F"/>
    <w:rsid w:val="006F58F0"/>
    <w:rsid w:val="006F5BB3"/>
    <w:rsid w:val="006F5DA7"/>
    <w:rsid w:val="006F5DE9"/>
    <w:rsid w:val="006F5ED9"/>
    <w:rsid w:val="006F61B6"/>
    <w:rsid w:val="006F6C71"/>
    <w:rsid w:val="006F6D80"/>
    <w:rsid w:val="006F6F55"/>
    <w:rsid w:val="006F779C"/>
    <w:rsid w:val="006F7A45"/>
    <w:rsid w:val="006F7FB8"/>
    <w:rsid w:val="00700286"/>
    <w:rsid w:val="0070054C"/>
    <w:rsid w:val="00700A00"/>
    <w:rsid w:val="007016E1"/>
    <w:rsid w:val="00701CA3"/>
    <w:rsid w:val="00701CAE"/>
    <w:rsid w:val="0070224A"/>
    <w:rsid w:val="0070230C"/>
    <w:rsid w:val="00702551"/>
    <w:rsid w:val="00703284"/>
    <w:rsid w:val="0070357E"/>
    <w:rsid w:val="007038D2"/>
    <w:rsid w:val="00703ED8"/>
    <w:rsid w:val="007040C2"/>
    <w:rsid w:val="007040CC"/>
    <w:rsid w:val="00704166"/>
    <w:rsid w:val="0070417D"/>
    <w:rsid w:val="007043C0"/>
    <w:rsid w:val="007044D2"/>
    <w:rsid w:val="007045AB"/>
    <w:rsid w:val="00704925"/>
    <w:rsid w:val="00704EB7"/>
    <w:rsid w:val="00705E86"/>
    <w:rsid w:val="00706045"/>
    <w:rsid w:val="0070691E"/>
    <w:rsid w:val="00706C20"/>
    <w:rsid w:val="007076DA"/>
    <w:rsid w:val="00707C4E"/>
    <w:rsid w:val="00707CB0"/>
    <w:rsid w:val="0071064D"/>
    <w:rsid w:val="00711599"/>
    <w:rsid w:val="00711B4A"/>
    <w:rsid w:val="00711C5C"/>
    <w:rsid w:val="00711EDC"/>
    <w:rsid w:val="00712790"/>
    <w:rsid w:val="007127D5"/>
    <w:rsid w:val="00712A77"/>
    <w:rsid w:val="00712D80"/>
    <w:rsid w:val="00712E0E"/>
    <w:rsid w:val="0071314B"/>
    <w:rsid w:val="00713EA8"/>
    <w:rsid w:val="0071402F"/>
    <w:rsid w:val="00714AAF"/>
    <w:rsid w:val="00715777"/>
    <w:rsid w:val="007157A0"/>
    <w:rsid w:val="00715FC9"/>
    <w:rsid w:val="007160B4"/>
    <w:rsid w:val="0071661C"/>
    <w:rsid w:val="0071681C"/>
    <w:rsid w:val="0071715E"/>
    <w:rsid w:val="007203C7"/>
    <w:rsid w:val="00720D55"/>
    <w:rsid w:val="007223F6"/>
    <w:rsid w:val="007230F0"/>
    <w:rsid w:val="00723F39"/>
    <w:rsid w:val="00723FD3"/>
    <w:rsid w:val="0072467C"/>
    <w:rsid w:val="00724929"/>
    <w:rsid w:val="00724CAC"/>
    <w:rsid w:val="00724D1E"/>
    <w:rsid w:val="007250ED"/>
    <w:rsid w:val="00725747"/>
    <w:rsid w:val="0072579D"/>
    <w:rsid w:val="00725A29"/>
    <w:rsid w:val="00725D14"/>
    <w:rsid w:val="00725ECC"/>
    <w:rsid w:val="00725F65"/>
    <w:rsid w:val="007265B4"/>
    <w:rsid w:val="00726DAF"/>
    <w:rsid w:val="00726DFF"/>
    <w:rsid w:val="00727255"/>
    <w:rsid w:val="007275E2"/>
    <w:rsid w:val="00727E9F"/>
    <w:rsid w:val="00730F69"/>
    <w:rsid w:val="0073249D"/>
    <w:rsid w:val="007325B1"/>
    <w:rsid w:val="00732B3B"/>
    <w:rsid w:val="00732EF2"/>
    <w:rsid w:val="00733544"/>
    <w:rsid w:val="00733560"/>
    <w:rsid w:val="00733855"/>
    <w:rsid w:val="00733A9A"/>
    <w:rsid w:val="00733B1D"/>
    <w:rsid w:val="00734156"/>
    <w:rsid w:val="00735510"/>
    <w:rsid w:val="00735574"/>
    <w:rsid w:val="0073565E"/>
    <w:rsid w:val="0073578F"/>
    <w:rsid w:val="007359E9"/>
    <w:rsid w:val="00735AE4"/>
    <w:rsid w:val="00735BD9"/>
    <w:rsid w:val="007361A1"/>
    <w:rsid w:val="00736260"/>
    <w:rsid w:val="00736305"/>
    <w:rsid w:val="00736390"/>
    <w:rsid w:val="007363EF"/>
    <w:rsid w:val="007364E4"/>
    <w:rsid w:val="00736B2A"/>
    <w:rsid w:val="00736B32"/>
    <w:rsid w:val="00736BD9"/>
    <w:rsid w:val="00736E8A"/>
    <w:rsid w:val="007376E0"/>
    <w:rsid w:val="007377EB"/>
    <w:rsid w:val="007400C2"/>
    <w:rsid w:val="007406A4"/>
    <w:rsid w:val="00741177"/>
    <w:rsid w:val="0074131B"/>
    <w:rsid w:val="00741C76"/>
    <w:rsid w:val="007424E0"/>
    <w:rsid w:val="0074278E"/>
    <w:rsid w:val="00742AFE"/>
    <w:rsid w:val="00742BE0"/>
    <w:rsid w:val="00742E31"/>
    <w:rsid w:val="007433CE"/>
    <w:rsid w:val="007433DC"/>
    <w:rsid w:val="0074369B"/>
    <w:rsid w:val="007439DC"/>
    <w:rsid w:val="00744517"/>
    <w:rsid w:val="00744602"/>
    <w:rsid w:val="00744AAF"/>
    <w:rsid w:val="00744B36"/>
    <w:rsid w:val="007450C5"/>
    <w:rsid w:val="00745487"/>
    <w:rsid w:val="0074552E"/>
    <w:rsid w:val="007457E3"/>
    <w:rsid w:val="00745B3B"/>
    <w:rsid w:val="007461E4"/>
    <w:rsid w:val="007463E6"/>
    <w:rsid w:val="0074698E"/>
    <w:rsid w:val="007470AF"/>
    <w:rsid w:val="007475F3"/>
    <w:rsid w:val="00747B98"/>
    <w:rsid w:val="00750142"/>
    <w:rsid w:val="00750169"/>
    <w:rsid w:val="007502CB"/>
    <w:rsid w:val="0075155D"/>
    <w:rsid w:val="0075245B"/>
    <w:rsid w:val="00752E1A"/>
    <w:rsid w:val="00753696"/>
    <w:rsid w:val="00753EE3"/>
    <w:rsid w:val="00754082"/>
    <w:rsid w:val="007540E3"/>
    <w:rsid w:val="007543D9"/>
    <w:rsid w:val="007544CF"/>
    <w:rsid w:val="00754581"/>
    <w:rsid w:val="00754644"/>
    <w:rsid w:val="007546D0"/>
    <w:rsid w:val="00754A4F"/>
    <w:rsid w:val="00754CC8"/>
    <w:rsid w:val="00754FCA"/>
    <w:rsid w:val="0075526B"/>
    <w:rsid w:val="0075545B"/>
    <w:rsid w:val="0075599E"/>
    <w:rsid w:val="007564D6"/>
    <w:rsid w:val="00756B48"/>
    <w:rsid w:val="00756E57"/>
    <w:rsid w:val="00756F02"/>
    <w:rsid w:val="00757448"/>
    <w:rsid w:val="00757768"/>
    <w:rsid w:val="00757C55"/>
    <w:rsid w:val="007602F4"/>
    <w:rsid w:val="007608AA"/>
    <w:rsid w:val="007611B9"/>
    <w:rsid w:val="007615B0"/>
    <w:rsid w:val="00761C8C"/>
    <w:rsid w:val="007620AE"/>
    <w:rsid w:val="00762790"/>
    <w:rsid w:val="00762B74"/>
    <w:rsid w:val="00762CD7"/>
    <w:rsid w:val="00762D7A"/>
    <w:rsid w:val="00762F9F"/>
    <w:rsid w:val="0076397B"/>
    <w:rsid w:val="00763BDD"/>
    <w:rsid w:val="00763F89"/>
    <w:rsid w:val="007643C5"/>
    <w:rsid w:val="00764544"/>
    <w:rsid w:val="00764A70"/>
    <w:rsid w:val="00764B57"/>
    <w:rsid w:val="00764BA5"/>
    <w:rsid w:val="00765005"/>
    <w:rsid w:val="00765B8E"/>
    <w:rsid w:val="00765EEF"/>
    <w:rsid w:val="007660CA"/>
    <w:rsid w:val="00766254"/>
    <w:rsid w:val="00766462"/>
    <w:rsid w:val="00766B9E"/>
    <w:rsid w:val="00766CD3"/>
    <w:rsid w:val="00767C3B"/>
    <w:rsid w:val="00767D9D"/>
    <w:rsid w:val="0077070D"/>
    <w:rsid w:val="0077078F"/>
    <w:rsid w:val="007707DE"/>
    <w:rsid w:val="00770AED"/>
    <w:rsid w:val="007714BD"/>
    <w:rsid w:val="007715EA"/>
    <w:rsid w:val="00772513"/>
    <w:rsid w:val="007730C6"/>
    <w:rsid w:val="00773811"/>
    <w:rsid w:val="0077437F"/>
    <w:rsid w:val="00774803"/>
    <w:rsid w:val="00774D8F"/>
    <w:rsid w:val="00775B4F"/>
    <w:rsid w:val="0077699B"/>
    <w:rsid w:val="00776BE5"/>
    <w:rsid w:val="00776D0D"/>
    <w:rsid w:val="00776DFD"/>
    <w:rsid w:val="0077708C"/>
    <w:rsid w:val="00777AC9"/>
    <w:rsid w:val="00777B1C"/>
    <w:rsid w:val="007808F7"/>
    <w:rsid w:val="00780D60"/>
    <w:rsid w:val="00780EE0"/>
    <w:rsid w:val="00781603"/>
    <w:rsid w:val="007827B2"/>
    <w:rsid w:val="00782CE2"/>
    <w:rsid w:val="0078333E"/>
    <w:rsid w:val="007833FD"/>
    <w:rsid w:val="007834FB"/>
    <w:rsid w:val="00783CA7"/>
    <w:rsid w:val="00783E03"/>
    <w:rsid w:val="00784271"/>
    <w:rsid w:val="00784642"/>
    <w:rsid w:val="00784C17"/>
    <w:rsid w:val="007859C1"/>
    <w:rsid w:val="00785AEA"/>
    <w:rsid w:val="00785D10"/>
    <w:rsid w:val="00785F6D"/>
    <w:rsid w:val="0078620C"/>
    <w:rsid w:val="007866A4"/>
    <w:rsid w:val="00786942"/>
    <w:rsid w:val="00786D9A"/>
    <w:rsid w:val="0078766C"/>
    <w:rsid w:val="00787E1C"/>
    <w:rsid w:val="007912FF"/>
    <w:rsid w:val="007913A1"/>
    <w:rsid w:val="00791CBE"/>
    <w:rsid w:val="007921C7"/>
    <w:rsid w:val="00792685"/>
    <w:rsid w:val="00792AC2"/>
    <w:rsid w:val="00792AF6"/>
    <w:rsid w:val="00792B07"/>
    <w:rsid w:val="007931EE"/>
    <w:rsid w:val="00793212"/>
    <w:rsid w:val="00793517"/>
    <w:rsid w:val="0079375A"/>
    <w:rsid w:val="0079385A"/>
    <w:rsid w:val="00794302"/>
    <w:rsid w:val="00794397"/>
    <w:rsid w:val="00794A5A"/>
    <w:rsid w:val="00794C6D"/>
    <w:rsid w:val="00795203"/>
    <w:rsid w:val="00795214"/>
    <w:rsid w:val="007954BE"/>
    <w:rsid w:val="00795615"/>
    <w:rsid w:val="00795AF1"/>
    <w:rsid w:val="00795F4C"/>
    <w:rsid w:val="007960CD"/>
    <w:rsid w:val="00796731"/>
    <w:rsid w:val="00796E93"/>
    <w:rsid w:val="00797E2C"/>
    <w:rsid w:val="007A0217"/>
    <w:rsid w:val="007A04B3"/>
    <w:rsid w:val="007A1699"/>
    <w:rsid w:val="007A1EE1"/>
    <w:rsid w:val="007A205F"/>
    <w:rsid w:val="007A2643"/>
    <w:rsid w:val="007A2F8C"/>
    <w:rsid w:val="007A3151"/>
    <w:rsid w:val="007A31F2"/>
    <w:rsid w:val="007A32FD"/>
    <w:rsid w:val="007A33C3"/>
    <w:rsid w:val="007A4CEE"/>
    <w:rsid w:val="007A5117"/>
    <w:rsid w:val="007A5135"/>
    <w:rsid w:val="007A51A9"/>
    <w:rsid w:val="007A5D33"/>
    <w:rsid w:val="007A5D84"/>
    <w:rsid w:val="007A5DCC"/>
    <w:rsid w:val="007A63AC"/>
    <w:rsid w:val="007A63DB"/>
    <w:rsid w:val="007A6697"/>
    <w:rsid w:val="007A69BF"/>
    <w:rsid w:val="007A6EA1"/>
    <w:rsid w:val="007A7136"/>
    <w:rsid w:val="007A7198"/>
    <w:rsid w:val="007A7587"/>
    <w:rsid w:val="007A776F"/>
    <w:rsid w:val="007A7C03"/>
    <w:rsid w:val="007A7F1B"/>
    <w:rsid w:val="007B0AB3"/>
    <w:rsid w:val="007B0C7B"/>
    <w:rsid w:val="007B11B4"/>
    <w:rsid w:val="007B1215"/>
    <w:rsid w:val="007B13B9"/>
    <w:rsid w:val="007B1605"/>
    <w:rsid w:val="007B2C59"/>
    <w:rsid w:val="007B2FC2"/>
    <w:rsid w:val="007B322E"/>
    <w:rsid w:val="007B422F"/>
    <w:rsid w:val="007B4636"/>
    <w:rsid w:val="007B5628"/>
    <w:rsid w:val="007B5F22"/>
    <w:rsid w:val="007B5FED"/>
    <w:rsid w:val="007B7763"/>
    <w:rsid w:val="007B79BA"/>
    <w:rsid w:val="007B7F15"/>
    <w:rsid w:val="007C0112"/>
    <w:rsid w:val="007C0246"/>
    <w:rsid w:val="007C0687"/>
    <w:rsid w:val="007C06B0"/>
    <w:rsid w:val="007C083F"/>
    <w:rsid w:val="007C0B24"/>
    <w:rsid w:val="007C1C6F"/>
    <w:rsid w:val="007C1F98"/>
    <w:rsid w:val="007C234B"/>
    <w:rsid w:val="007C2D78"/>
    <w:rsid w:val="007C2E06"/>
    <w:rsid w:val="007C2E65"/>
    <w:rsid w:val="007C359D"/>
    <w:rsid w:val="007C36DD"/>
    <w:rsid w:val="007C3D00"/>
    <w:rsid w:val="007C40FB"/>
    <w:rsid w:val="007C413A"/>
    <w:rsid w:val="007C44AC"/>
    <w:rsid w:val="007C4B63"/>
    <w:rsid w:val="007C4D0E"/>
    <w:rsid w:val="007C4D77"/>
    <w:rsid w:val="007C4F1A"/>
    <w:rsid w:val="007C4FC3"/>
    <w:rsid w:val="007C77EA"/>
    <w:rsid w:val="007C789C"/>
    <w:rsid w:val="007C7C91"/>
    <w:rsid w:val="007D019A"/>
    <w:rsid w:val="007D0412"/>
    <w:rsid w:val="007D043A"/>
    <w:rsid w:val="007D0EF6"/>
    <w:rsid w:val="007D0FBC"/>
    <w:rsid w:val="007D1838"/>
    <w:rsid w:val="007D18C1"/>
    <w:rsid w:val="007D31B0"/>
    <w:rsid w:val="007D3388"/>
    <w:rsid w:val="007D3794"/>
    <w:rsid w:val="007D37AE"/>
    <w:rsid w:val="007D3B2B"/>
    <w:rsid w:val="007D4443"/>
    <w:rsid w:val="007D4767"/>
    <w:rsid w:val="007D4775"/>
    <w:rsid w:val="007D4C89"/>
    <w:rsid w:val="007D4D2F"/>
    <w:rsid w:val="007D59B8"/>
    <w:rsid w:val="007D5D92"/>
    <w:rsid w:val="007D66C3"/>
    <w:rsid w:val="007D6A72"/>
    <w:rsid w:val="007D74DF"/>
    <w:rsid w:val="007E00AB"/>
    <w:rsid w:val="007E03E5"/>
    <w:rsid w:val="007E06A6"/>
    <w:rsid w:val="007E0C78"/>
    <w:rsid w:val="007E0D8B"/>
    <w:rsid w:val="007E12B7"/>
    <w:rsid w:val="007E283A"/>
    <w:rsid w:val="007E296E"/>
    <w:rsid w:val="007E3090"/>
    <w:rsid w:val="007E30A2"/>
    <w:rsid w:val="007E30CA"/>
    <w:rsid w:val="007E3529"/>
    <w:rsid w:val="007E385C"/>
    <w:rsid w:val="007E3886"/>
    <w:rsid w:val="007E3A62"/>
    <w:rsid w:val="007E3C78"/>
    <w:rsid w:val="007E4628"/>
    <w:rsid w:val="007E4FBE"/>
    <w:rsid w:val="007E52DB"/>
    <w:rsid w:val="007E59C3"/>
    <w:rsid w:val="007E5DE2"/>
    <w:rsid w:val="007E5FBB"/>
    <w:rsid w:val="007E6090"/>
    <w:rsid w:val="007E712A"/>
    <w:rsid w:val="007E7263"/>
    <w:rsid w:val="007E72D1"/>
    <w:rsid w:val="007E7640"/>
    <w:rsid w:val="007E7E0E"/>
    <w:rsid w:val="007E7E44"/>
    <w:rsid w:val="007F118C"/>
    <w:rsid w:val="007F1489"/>
    <w:rsid w:val="007F1C7D"/>
    <w:rsid w:val="007F246B"/>
    <w:rsid w:val="007F2AF0"/>
    <w:rsid w:val="007F332E"/>
    <w:rsid w:val="007F35D5"/>
    <w:rsid w:val="007F35FC"/>
    <w:rsid w:val="007F39A3"/>
    <w:rsid w:val="007F3F36"/>
    <w:rsid w:val="007F49D7"/>
    <w:rsid w:val="007F4C66"/>
    <w:rsid w:val="007F53AC"/>
    <w:rsid w:val="007F589C"/>
    <w:rsid w:val="007F5A0F"/>
    <w:rsid w:val="007F5C18"/>
    <w:rsid w:val="007F6552"/>
    <w:rsid w:val="007F657A"/>
    <w:rsid w:val="007F685D"/>
    <w:rsid w:val="007F74CF"/>
    <w:rsid w:val="007F75DB"/>
    <w:rsid w:val="007F7E0F"/>
    <w:rsid w:val="007F7F7C"/>
    <w:rsid w:val="008002BA"/>
    <w:rsid w:val="0080038E"/>
    <w:rsid w:val="0080077C"/>
    <w:rsid w:val="0080103F"/>
    <w:rsid w:val="0080150C"/>
    <w:rsid w:val="0080298D"/>
    <w:rsid w:val="00802DF0"/>
    <w:rsid w:val="00802E94"/>
    <w:rsid w:val="00802FDC"/>
    <w:rsid w:val="008037DD"/>
    <w:rsid w:val="0080386E"/>
    <w:rsid w:val="00803A38"/>
    <w:rsid w:val="00803E98"/>
    <w:rsid w:val="0080430E"/>
    <w:rsid w:val="00804F23"/>
    <w:rsid w:val="00805473"/>
    <w:rsid w:val="00805740"/>
    <w:rsid w:val="00805C40"/>
    <w:rsid w:val="00805D6D"/>
    <w:rsid w:val="00805EF4"/>
    <w:rsid w:val="008061C3"/>
    <w:rsid w:val="00806B79"/>
    <w:rsid w:val="00806FC6"/>
    <w:rsid w:val="00807694"/>
    <w:rsid w:val="00807C57"/>
    <w:rsid w:val="0081002E"/>
    <w:rsid w:val="00810063"/>
    <w:rsid w:val="0081033F"/>
    <w:rsid w:val="008107A1"/>
    <w:rsid w:val="00810A02"/>
    <w:rsid w:val="00810AA4"/>
    <w:rsid w:val="00810D48"/>
    <w:rsid w:val="008118EC"/>
    <w:rsid w:val="00811DFD"/>
    <w:rsid w:val="008129DE"/>
    <w:rsid w:val="00812D49"/>
    <w:rsid w:val="00813666"/>
    <w:rsid w:val="008138B2"/>
    <w:rsid w:val="00813972"/>
    <w:rsid w:val="00813AAF"/>
    <w:rsid w:val="0081442E"/>
    <w:rsid w:val="00814872"/>
    <w:rsid w:val="00814D06"/>
    <w:rsid w:val="008152DA"/>
    <w:rsid w:val="00815350"/>
    <w:rsid w:val="0081536E"/>
    <w:rsid w:val="008153BF"/>
    <w:rsid w:val="008154C6"/>
    <w:rsid w:val="00815B6A"/>
    <w:rsid w:val="00816000"/>
    <w:rsid w:val="008161A9"/>
    <w:rsid w:val="008163D7"/>
    <w:rsid w:val="00816939"/>
    <w:rsid w:val="00816BEC"/>
    <w:rsid w:val="00817A8A"/>
    <w:rsid w:val="00817F5B"/>
    <w:rsid w:val="00820054"/>
    <w:rsid w:val="00820378"/>
    <w:rsid w:val="00820475"/>
    <w:rsid w:val="0082066D"/>
    <w:rsid w:val="00820B9B"/>
    <w:rsid w:val="00820DFD"/>
    <w:rsid w:val="00821264"/>
    <w:rsid w:val="008218CD"/>
    <w:rsid w:val="00821A88"/>
    <w:rsid w:val="00821FD2"/>
    <w:rsid w:val="0082263A"/>
    <w:rsid w:val="00822B2B"/>
    <w:rsid w:val="008230F4"/>
    <w:rsid w:val="00823AEE"/>
    <w:rsid w:val="00823F1D"/>
    <w:rsid w:val="008243B9"/>
    <w:rsid w:val="008248A1"/>
    <w:rsid w:val="008249E2"/>
    <w:rsid w:val="00824D16"/>
    <w:rsid w:val="00824F06"/>
    <w:rsid w:val="0082510F"/>
    <w:rsid w:val="008253A1"/>
    <w:rsid w:val="008255F4"/>
    <w:rsid w:val="00825EFF"/>
    <w:rsid w:val="0082688F"/>
    <w:rsid w:val="0082772D"/>
    <w:rsid w:val="0082777E"/>
    <w:rsid w:val="00827838"/>
    <w:rsid w:val="00830039"/>
    <w:rsid w:val="0083052C"/>
    <w:rsid w:val="00830A36"/>
    <w:rsid w:val="00831184"/>
    <w:rsid w:val="00831E35"/>
    <w:rsid w:val="0083299C"/>
    <w:rsid w:val="00832A43"/>
    <w:rsid w:val="00832B05"/>
    <w:rsid w:val="00832B35"/>
    <w:rsid w:val="00832B5A"/>
    <w:rsid w:val="00833099"/>
    <w:rsid w:val="008335A2"/>
    <w:rsid w:val="008347FF"/>
    <w:rsid w:val="0083488D"/>
    <w:rsid w:val="00834B34"/>
    <w:rsid w:val="00834C7C"/>
    <w:rsid w:val="00835040"/>
    <w:rsid w:val="00835726"/>
    <w:rsid w:val="008358DC"/>
    <w:rsid w:val="00835D0D"/>
    <w:rsid w:val="0083631E"/>
    <w:rsid w:val="008363AF"/>
    <w:rsid w:val="00836565"/>
    <w:rsid w:val="00836662"/>
    <w:rsid w:val="00836CFB"/>
    <w:rsid w:val="00837197"/>
    <w:rsid w:val="00837266"/>
    <w:rsid w:val="00837C7B"/>
    <w:rsid w:val="008409E1"/>
    <w:rsid w:val="00840EF2"/>
    <w:rsid w:val="00841230"/>
    <w:rsid w:val="0084168B"/>
    <w:rsid w:val="00842868"/>
    <w:rsid w:val="008430E4"/>
    <w:rsid w:val="008430EB"/>
    <w:rsid w:val="008432BF"/>
    <w:rsid w:val="008432FB"/>
    <w:rsid w:val="00843A95"/>
    <w:rsid w:val="00843D53"/>
    <w:rsid w:val="008441A4"/>
    <w:rsid w:val="00844456"/>
    <w:rsid w:val="00844469"/>
    <w:rsid w:val="00844953"/>
    <w:rsid w:val="0084499D"/>
    <w:rsid w:val="008449B0"/>
    <w:rsid w:val="00845192"/>
    <w:rsid w:val="008455F0"/>
    <w:rsid w:val="008456EA"/>
    <w:rsid w:val="00845C39"/>
    <w:rsid w:val="00845D3D"/>
    <w:rsid w:val="00846445"/>
    <w:rsid w:val="008465D3"/>
    <w:rsid w:val="0084695E"/>
    <w:rsid w:val="00846A57"/>
    <w:rsid w:val="00846D15"/>
    <w:rsid w:val="008472F1"/>
    <w:rsid w:val="0084787F"/>
    <w:rsid w:val="00847A9B"/>
    <w:rsid w:val="0085068B"/>
    <w:rsid w:val="00850F57"/>
    <w:rsid w:val="00852246"/>
    <w:rsid w:val="008527F1"/>
    <w:rsid w:val="00852D03"/>
    <w:rsid w:val="00853406"/>
    <w:rsid w:val="0085392D"/>
    <w:rsid w:val="00853A7F"/>
    <w:rsid w:val="00853EC4"/>
    <w:rsid w:val="00853FDC"/>
    <w:rsid w:val="00854543"/>
    <w:rsid w:val="00854B67"/>
    <w:rsid w:val="00854F22"/>
    <w:rsid w:val="0085629A"/>
    <w:rsid w:val="0085633F"/>
    <w:rsid w:val="008563C0"/>
    <w:rsid w:val="00856569"/>
    <w:rsid w:val="008569F4"/>
    <w:rsid w:val="00856CD2"/>
    <w:rsid w:val="00856F08"/>
    <w:rsid w:val="0085724B"/>
    <w:rsid w:val="008577CC"/>
    <w:rsid w:val="008600C6"/>
    <w:rsid w:val="00860482"/>
    <w:rsid w:val="00860655"/>
    <w:rsid w:val="00860699"/>
    <w:rsid w:val="00860BC0"/>
    <w:rsid w:val="00861316"/>
    <w:rsid w:val="008615BA"/>
    <w:rsid w:val="00861A0E"/>
    <w:rsid w:val="00861E25"/>
    <w:rsid w:val="00862BC9"/>
    <w:rsid w:val="00862E7F"/>
    <w:rsid w:val="008630BB"/>
    <w:rsid w:val="00864645"/>
    <w:rsid w:val="00865369"/>
    <w:rsid w:val="008654F1"/>
    <w:rsid w:val="00865EF1"/>
    <w:rsid w:val="00865FFB"/>
    <w:rsid w:val="00866554"/>
    <w:rsid w:val="0086714F"/>
    <w:rsid w:val="008674EF"/>
    <w:rsid w:val="00867A2F"/>
    <w:rsid w:val="00870346"/>
    <w:rsid w:val="00870356"/>
    <w:rsid w:val="00870418"/>
    <w:rsid w:val="008704E6"/>
    <w:rsid w:val="0087063B"/>
    <w:rsid w:val="00871226"/>
    <w:rsid w:val="00871816"/>
    <w:rsid w:val="00871941"/>
    <w:rsid w:val="008729FD"/>
    <w:rsid w:val="00872FD0"/>
    <w:rsid w:val="0087361D"/>
    <w:rsid w:val="00873A0A"/>
    <w:rsid w:val="00873B84"/>
    <w:rsid w:val="00874063"/>
    <w:rsid w:val="0087439E"/>
    <w:rsid w:val="00874664"/>
    <w:rsid w:val="00874C47"/>
    <w:rsid w:val="00874CB3"/>
    <w:rsid w:val="00874CD0"/>
    <w:rsid w:val="008752BC"/>
    <w:rsid w:val="008767D6"/>
    <w:rsid w:val="00876EBE"/>
    <w:rsid w:val="00877731"/>
    <w:rsid w:val="00880122"/>
    <w:rsid w:val="00880DC9"/>
    <w:rsid w:val="00880E10"/>
    <w:rsid w:val="0088135D"/>
    <w:rsid w:val="008813D4"/>
    <w:rsid w:val="0088167A"/>
    <w:rsid w:val="00881A94"/>
    <w:rsid w:val="00882483"/>
    <w:rsid w:val="008829D3"/>
    <w:rsid w:val="00882D97"/>
    <w:rsid w:val="00883401"/>
    <w:rsid w:val="00883409"/>
    <w:rsid w:val="00883B7F"/>
    <w:rsid w:val="00883F3E"/>
    <w:rsid w:val="008843EE"/>
    <w:rsid w:val="008847F2"/>
    <w:rsid w:val="00884BB7"/>
    <w:rsid w:val="00885091"/>
    <w:rsid w:val="00885FED"/>
    <w:rsid w:val="0088677A"/>
    <w:rsid w:val="008868B7"/>
    <w:rsid w:val="00886B5D"/>
    <w:rsid w:val="008870CB"/>
    <w:rsid w:val="008876FF"/>
    <w:rsid w:val="00887DCC"/>
    <w:rsid w:val="00887FB4"/>
    <w:rsid w:val="00890078"/>
    <w:rsid w:val="008906D4"/>
    <w:rsid w:val="00890A3F"/>
    <w:rsid w:val="0089175D"/>
    <w:rsid w:val="00891B48"/>
    <w:rsid w:val="00891D59"/>
    <w:rsid w:val="00892311"/>
    <w:rsid w:val="00892338"/>
    <w:rsid w:val="00892CFD"/>
    <w:rsid w:val="00892DCA"/>
    <w:rsid w:val="00893813"/>
    <w:rsid w:val="008938C7"/>
    <w:rsid w:val="00893917"/>
    <w:rsid w:val="00893964"/>
    <w:rsid w:val="008939B2"/>
    <w:rsid w:val="00893D1A"/>
    <w:rsid w:val="00894525"/>
    <w:rsid w:val="0089461C"/>
    <w:rsid w:val="0089463A"/>
    <w:rsid w:val="00894BAA"/>
    <w:rsid w:val="00894EC3"/>
    <w:rsid w:val="0089500C"/>
    <w:rsid w:val="008959B3"/>
    <w:rsid w:val="00895AD6"/>
    <w:rsid w:val="00895C2B"/>
    <w:rsid w:val="00895D94"/>
    <w:rsid w:val="008964B4"/>
    <w:rsid w:val="008967C9"/>
    <w:rsid w:val="00896C38"/>
    <w:rsid w:val="00897030"/>
    <w:rsid w:val="00897043"/>
    <w:rsid w:val="00897346"/>
    <w:rsid w:val="008977A9"/>
    <w:rsid w:val="00897927"/>
    <w:rsid w:val="00897C54"/>
    <w:rsid w:val="00897E7C"/>
    <w:rsid w:val="008A008A"/>
    <w:rsid w:val="008A0185"/>
    <w:rsid w:val="008A097C"/>
    <w:rsid w:val="008A0CA8"/>
    <w:rsid w:val="008A0D3C"/>
    <w:rsid w:val="008A1915"/>
    <w:rsid w:val="008A1D79"/>
    <w:rsid w:val="008A200C"/>
    <w:rsid w:val="008A24AC"/>
    <w:rsid w:val="008A2B33"/>
    <w:rsid w:val="008A35B9"/>
    <w:rsid w:val="008A3748"/>
    <w:rsid w:val="008A3869"/>
    <w:rsid w:val="008A3F56"/>
    <w:rsid w:val="008A4026"/>
    <w:rsid w:val="008A4A0E"/>
    <w:rsid w:val="008A4C98"/>
    <w:rsid w:val="008A4DFE"/>
    <w:rsid w:val="008A5720"/>
    <w:rsid w:val="008A59F1"/>
    <w:rsid w:val="008A5CD9"/>
    <w:rsid w:val="008A5E3A"/>
    <w:rsid w:val="008A64F9"/>
    <w:rsid w:val="008A66F7"/>
    <w:rsid w:val="008A6705"/>
    <w:rsid w:val="008A6B8A"/>
    <w:rsid w:val="008A6ED8"/>
    <w:rsid w:val="008A7027"/>
    <w:rsid w:val="008A706E"/>
    <w:rsid w:val="008A79EB"/>
    <w:rsid w:val="008B014E"/>
    <w:rsid w:val="008B06D2"/>
    <w:rsid w:val="008B09DF"/>
    <w:rsid w:val="008B0D38"/>
    <w:rsid w:val="008B0E96"/>
    <w:rsid w:val="008B1328"/>
    <w:rsid w:val="008B1FF5"/>
    <w:rsid w:val="008B21E9"/>
    <w:rsid w:val="008B27C6"/>
    <w:rsid w:val="008B282C"/>
    <w:rsid w:val="008B2CAD"/>
    <w:rsid w:val="008B3010"/>
    <w:rsid w:val="008B35CB"/>
    <w:rsid w:val="008B3859"/>
    <w:rsid w:val="008B3B82"/>
    <w:rsid w:val="008B418D"/>
    <w:rsid w:val="008B46DB"/>
    <w:rsid w:val="008B470F"/>
    <w:rsid w:val="008B4A56"/>
    <w:rsid w:val="008B4ADD"/>
    <w:rsid w:val="008B4C07"/>
    <w:rsid w:val="008B5A2F"/>
    <w:rsid w:val="008B5AE9"/>
    <w:rsid w:val="008B5F01"/>
    <w:rsid w:val="008B5F2B"/>
    <w:rsid w:val="008B67F5"/>
    <w:rsid w:val="008B685E"/>
    <w:rsid w:val="008B6A42"/>
    <w:rsid w:val="008B712A"/>
    <w:rsid w:val="008B73E6"/>
    <w:rsid w:val="008B7B5D"/>
    <w:rsid w:val="008B7F5A"/>
    <w:rsid w:val="008C0345"/>
    <w:rsid w:val="008C0A96"/>
    <w:rsid w:val="008C100B"/>
    <w:rsid w:val="008C1091"/>
    <w:rsid w:val="008C15DB"/>
    <w:rsid w:val="008C16F9"/>
    <w:rsid w:val="008C2106"/>
    <w:rsid w:val="008C26D7"/>
    <w:rsid w:val="008C30D5"/>
    <w:rsid w:val="008C3260"/>
    <w:rsid w:val="008C33FB"/>
    <w:rsid w:val="008C3554"/>
    <w:rsid w:val="008C4456"/>
    <w:rsid w:val="008C4E1D"/>
    <w:rsid w:val="008C5262"/>
    <w:rsid w:val="008C5D79"/>
    <w:rsid w:val="008C5F13"/>
    <w:rsid w:val="008C60B3"/>
    <w:rsid w:val="008C6104"/>
    <w:rsid w:val="008C64C0"/>
    <w:rsid w:val="008C6B83"/>
    <w:rsid w:val="008C703A"/>
    <w:rsid w:val="008C7265"/>
    <w:rsid w:val="008C7CDE"/>
    <w:rsid w:val="008D01D2"/>
    <w:rsid w:val="008D1961"/>
    <w:rsid w:val="008D20D7"/>
    <w:rsid w:val="008D258F"/>
    <w:rsid w:val="008D27FC"/>
    <w:rsid w:val="008D2E8D"/>
    <w:rsid w:val="008D2F61"/>
    <w:rsid w:val="008D2FC7"/>
    <w:rsid w:val="008D3B40"/>
    <w:rsid w:val="008D43B0"/>
    <w:rsid w:val="008D4827"/>
    <w:rsid w:val="008D4B1C"/>
    <w:rsid w:val="008D4F7D"/>
    <w:rsid w:val="008D4FE3"/>
    <w:rsid w:val="008D54FF"/>
    <w:rsid w:val="008D565A"/>
    <w:rsid w:val="008D5755"/>
    <w:rsid w:val="008D5B2E"/>
    <w:rsid w:val="008D5B60"/>
    <w:rsid w:val="008D6634"/>
    <w:rsid w:val="008D68BE"/>
    <w:rsid w:val="008D6926"/>
    <w:rsid w:val="008D6B4F"/>
    <w:rsid w:val="008D6D6A"/>
    <w:rsid w:val="008D7919"/>
    <w:rsid w:val="008D795B"/>
    <w:rsid w:val="008D7AB1"/>
    <w:rsid w:val="008D7AFA"/>
    <w:rsid w:val="008D7B27"/>
    <w:rsid w:val="008E00FA"/>
    <w:rsid w:val="008E1A21"/>
    <w:rsid w:val="008E1E65"/>
    <w:rsid w:val="008E20B0"/>
    <w:rsid w:val="008E2ED6"/>
    <w:rsid w:val="008E3352"/>
    <w:rsid w:val="008E3B83"/>
    <w:rsid w:val="008E3E50"/>
    <w:rsid w:val="008E459A"/>
    <w:rsid w:val="008E4E32"/>
    <w:rsid w:val="008E4FD6"/>
    <w:rsid w:val="008E5A31"/>
    <w:rsid w:val="008E5B5C"/>
    <w:rsid w:val="008E5CA3"/>
    <w:rsid w:val="008E6337"/>
    <w:rsid w:val="008E6799"/>
    <w:rsid w:val="008E6D2B"/>
    <w:rsid w:val="008E7BB0"/>
    <w:rsid w:val="008E7E42"/>
    <w:rsid w:val="008F0097"/>
    <w:rsid w:val="008F03FD"/>
    <w:rsid w:val="008F0BCF"/>
    <w:rsid w:val="008F26E2"/>
    <w:rsid w:val="008F282A"/>
    <w:rsid w:val="008F2838"/>
    <w:rsid w:val="008F2ABF"/>
    <w:rsid w:val="008F3A45"/>
    <w:rsid w:val="008F5074"/>
    <w:rsid w:val="008F57E1"/>
    <w:rsid w:val="008F5BE3"/>
    <w:rsid w:val="008F5BE5"/>
    <w:rsid w:val="008F5F6A"/>
    <w:rsid w:val="008F61BA"/>
    <w:rsid w:val="008F6A48"/>
    <w:rsid w:val="008F6FB0"/>
    <w:rsid w:val="008F700C"/>
    <w:rsid w:val="008F737A"/>
    <w:rsid w:val="008F7754"/>
    <w:rsid w:val="008F7981"/>
    <w:rsid w:val="008F7CEE"/>
    <w:rsid w:val="008F7D0D"/>
    <w:rsid w:val="008F7D71"/>
    <w:rsid w:val="009010ED"/>
    <w:rsid w:val="00901DB7"/>
    <w:rsid w:val="00901F6D"/>
    <w:rsid w:val="0090202B"/>
    <w:rsid w:val="00902619"/>
    <w:rsid w:val="00902FB4"/>
    <w:rsid w:val="0090313C"/>
    <w:rsid w:val="009032B7"/>
    <w:rsid w:val="00903411"/>
    <w:rsid w:val="00903565"/>
    <w:rsid w:val="00903A5C"/>
    <w:rsid w:val="00904072"/>
    <w:rsid w:val="00905EEF"/>
    <w:rsid w:val="00905F3D"/>
    <w:rsid w:val="00906235"/>
    <w:rsid w:val="00906AA4"/>
    <w:rsid w:val="00906B13"/>
    <w:rsid w:val="00906ED4"/>
    <w:rsid w:val="00907393"/>
    <w:rsid w:val="00907394"/>
    <w:rsid w:val="009074C1"/>
    <w:rsid w:val="00907F02"/>
    <w:rsid w:val="00910056"/>
    <w:rsid w:val="0091058F"/>
    <w:rsid w:val="009106D7"/>
    <w:rsid w:val="00910D2F"/>
    <w:rsid w:val="00911772"/>
    <w:rsid w:val="0091189D"/>
    <w:rsid w:val="00912438"/>
    <w:rsid w:val="009126A6"/>
    <w:rsid w:val="00912C9D"/>
    <w:rsid w:val="00912E45"/>
    <w:rsid w:val="00913028"/>
    <w:rsid w:val="009134B3"/>
    <w:rsid w:val="00913C90"/>
    <w:rsid w:val="00914084"/>
    <w:rsid w:val="009141CA"/>
    <w:rsid w:val="00914C3D"/>
    <w:rsid w:val="00914CBD"/>
    <w:rsid w:val="00914E27"/>
    <w:rsid w:val="00914F03"/>
    <w:rsid w:val="00915E71"/>
    <w:rsid w:val="00916342"/>
    <w:rsid w:val="009169A4"/>
    <w:rsid w:val="00916D79"/>
    <w:rsid w:val="00916F46"/>
    <w:rsid w:val="00917306"/>
    <w:rsid w:val="00917B65"/>
    <w:rsid w:val="00920203"/>
    <w:rsid w:val="00920D88"/>
    <w:rsid w:val="009219F1"/>
    <w:rsid w:val="00921E65"/>
    <w:rsid w:val="00922902"/>
    <w:rsid w:val="00922C02"/>
    <w:rsid w:val="00922C1D"/>
    <w:rsid w:val="009234AC"/>
    <w:rsid w:val="0092369D"/>
    <w:rsid w:val="00923B2C"/>
    <w:rsid w:val="00924344"/>
    <w:rsid w:val="009247D0"/>
    <w:rsid w:val="009247F7"/>
    <w:rsid w:val="00924949"/>
    <w:rsid w:val="00924BB0"/>
    <w:rsid w:val="00925DFD"/>
    <w:rsid w:val="00926117"/>
    <w:rsid w:val="009268BF"/>
    <w:rsid w:val="009268F5"/>
    <w:rsid w:val="009269AF"/>
    <w:rsid w:val="00926BE1"/>
    <w:rsid w:val="00926EFE"/>
    <w:rsid w:val="00927754"/>
    <w:rsid w:val="009302DD"/>
    <w:rsid w:val="00930787"/>
    <w:rsid w:val="00930D6E"/>
    <w:rsid w:val="009314D1"/>
    <w:rsid w:val="009319BD"/>
    <w:rsid w:val="0093216E"/>
    <w:rsid w:val="009326A6"/>
    <w:rsid w:val="009327D9"/>
    <w:rsid w:val="00932AA4"/>
    <w:rsid w:val="009339A2"/>
    <w:rsid w:val="00933A1A"/>
    <w:rsid w:val="00933B63"/>
    <w:rsid w:val="0093413B"/>
    <w:rsid w:val="00934A74"/>
    <w:rsid w:val="00934ABF"/>
    <w:rsid w:val="00934CDD"/>
    <w:rsid w:val="00935A99"/>
    <w:rsid w:val="00935E6E"/>
    <w:rsid w:val="00935E78"/>
    <w:rsid w:val="0093616D"/>
    <w:rsid w:val="009361A6"/>
    <w:rsid w:val="009363C6"/>
    <w:rsid w:val="00936412"/>
    <w:rsid w:val="00936943"/>
    <w:rsid w:val="00936AC8"/>
    <w:rsid w:val="009379F2"/>
    <w:rsid w:val="009405A6"/>
    <w:rsid w:val="00941108"/>
    <w:rsid w:val="00941C90"/>
    <w:rsid w:val="0094207F"/>
    <w:rsid w:val="00942393"/>
    <w:rsid w:val="009423DD"/>
    <w:rsid w:val="0094243A"/>
    <w:rsid w:val="00943099"/>
    <w:rsid w:val="009431E8"/>
    <w:rsid w:val="0094366B"/>
    <w:rsid w:val="0094366E"/>
    <w:rsid w:val="009438FE"/>
    <w:rsid w:val="00943914"/>
    <w:rsid w:val="00943A93"/>
    <w:rsid w:val="00943D1D"/>
    <w:rsid w:val="00943E5C"/>
    <w:rsid w:val="0094425C"/>
    <w:rsid w:val="0094425E"/>
    <w:rsid w:val="00944EAE"/>
    <w:rsid w:val="00944EEA"/>
    <w:rsid w:val="00945229"/>
    <w:rsid w:val="0094577F"/>
    <w:rsid w:val="009457F1"/>
    <w:rsid w:val="0094634C"/>
    <w:rsid w:val="0094661E"/>
    <w:rsid w:val="009466C6"/>
    <w:rsid w:val="00946810"/>
    <w:rsid w:val="00946C11"/>
    <w:rsid w:val="0095013A"/>
    <w:rsid w:val="009502B3"/>
    <w:rsid w:val="00950513"/>
    <w:rsid w:val="00951DC2"/>
    <w:rsid w:val="00951E96"/>
    <w:rsid w:val="00952059"/>
    <w:rsid w:val="00952304"/>
    <w:rsid w:val="00953BC7"/>
    <w:rsid w:val="00953D80"/>
    <w:rsid w:val="009544F7"/>
    <w:rsid w:val="00954A12"/>
    <w:rsid w:val="00955AC1"/>
    <w:rsid w:val="00955FDE"/>
    <w:rsid w:val="00956344"/>
    <w:rsid w:val="009564E9"/>
    <w:rsid w:val="0095693B"/>
    <w:rsid w:val="00956DF7"/>
    <w:rsid w:val="00956FA1"/>
    <w:rsid w:val="009574FC"/>
    <w:rsid w:val="009579DD"/>
    <w:rsid w:val="00957A51"/>
    <w:rsid w:val="00957B59"/>
    <w:rsid w:val="00957D8E"/>
    <w:rsid w:val="00960099"/>
    <w:rsid w:val="00960F9C"/>
    <w:rsid w:val="00961201"/>
    <w:rsid w:val="00961381"/>
    <w:rsid w:val="0096143E"/>
    <w:rsid w:val="0096221A"/>
    <w:rsid w:val="0096243B"/>
    <w:rsid w:val="0096353B"/>
    <w:rsid w:val="009635E9"/>
    <w:rsid w:val="00963CCD"/>
    <w:rsid w:val="00964028"/>
    <w:rsid w:val="009643E3"/>
    <w:rsid w:val="0096445F"/>
    <w:rsid w:val="00964584"/>
    <w:rsid w:val="009647CA"/>
    <w:rsid w:val="00964A16"/>
    <w:rsid w:val="00964A3B"/>
    <w:rsid w:val="00965520"/>
    <w:rsid w:val="0096557B"/>
    <w:rsid w:val="009656A3"/>
    <w:rsid w:val="00965D20"/>
    <w:rsid w:val="00966A99"/>
    <w:rsid w:val="0096771C"/>
    <w:rsid w:val="0097088C"/>
    <w:rsid w:val="00970E5C"/>
    <w:rsid w:val="00971074"/>
    <w:rsid w:val="00971634"/>
    <w:rsid w:val="0097169B"/>
    <w:rsid w:val="009716F1"/>
    <w:rsid w:val="00971744"/>
    <w:rsid w:val="009719E9"/>
    <w:rsid w:val="00972792"/>
    <w:rsid w:val="009727D0"/>
    <w:rsid w:val="00972DC6"/>
    <w:rsid w:val="00973F5A"/>
    <w:rsid w:val="00974330"/>
    <w:rsid w:val="009744EC"/>
    <w:rsid w:val="00974BF9"/>
    <w:rsid w:val="00974FD7"/>
    <w:rsid w:val="0097502E"/>
    <w:rsid w:val="00975135"/>
    <w:rsid w:val="009753F5"/>
    <w:rsid w:val="00975FE1"/>
    <w:rsid w:val="00976409"/>
    <w:rsid w:val="00976447"/>
    <w:rsid w:val="009765EF"/>
    <w:rsid w:val="00976680"/>
    <w:rsid w:val="0097680E"/>
    <w:rsid w:val="009768B0"/>
    <w:rsid w:val="00976965"/>
    <w:rsid w:val="00976A9F"/>
    <w:rsid w:val="00977317"/>
    <w:rsid w:val="0098003A"/>
    <w:rsid w:val="00980872"/>
    <w:rsid w:val="00980FCE"/>
    <w:rsid w:val="00981B53"/>
    <w:rsid w:val="00981C86"/>
    <w:rsid w:val="009825B0"/>
    <w:rsid w:val="009826DC"/>
    <w:rsid w:val="00982B37"/>
    <w:rsid w:val="00982B7E"/>
    <w:rsid w:val="009833C6"/>
    <w:rsid w:val="0098344F"/>
    <w:rsid w:val="009836B3"/>
    <w:rsid w:val="00983E47"/>
    <w:rsid w:val="009844CC"/>
    <w:rsid w:val="009845AF"/>
    <w:rsid w:val="00984AF6"/>
    <w:rsid w:val="00986472"/>
    <w:rsid w:val="009867FD"/>
    <w:rsid w:val="00986809"/>
    <w:rsid w:val="0098698B"/>
    <w:rsid w:val="0098699E"/>
    <w:rsid w:val="00986CDD"/>
    <w:rsid w:val="00986D93"/>
    <w:rsid w:val="009873D3"/>
    <w:rsid w:val="0098750D"/>
    <w:rsid w:val="0098792A"/>
    <w:rsid w:val="00987B13"/>
    <w:rsid w:val="00987DA0"/>
    <w:rsid w:val="009900B4"/>
    <w:rsid w:val="0099015C"/>
    <w:rsid w:val="009901F0"/>
    <w:rsid w:val="00990C9A"/>
    <w:rsid w:val="009913BC"/>
    <w:rsid w:val="00991AF3"/>
    <w:rsid w:val="00991B9F"/>
    <w:rsid w:val="009927D8"/>
    <w:rsid w:val="00992AC1"/>
    <w:rsid w:val="0099334C"/>
    <w:rsid w:val="00993734"/>
    <w:rsid w:val="00993C98"/>
    <w:rsid w:val="0099411C"/>
    <w:rsid w:val="009954BC"/>
    <w:rsid w:val="009959E1"/>
    <w:rsid w:val="0099614D"/>
    <w:rsid w:val="00996310"/>
    <w:rsid w:val="00996795"/>
    <w:rsid w:val="009968CF"/>
    <w:rsid w:val="00996EB5"/>
    <w:rsid w:val="00997082"/>
    <w:rsid w:val="0099750D"/>
    <w:rsid w:val="00997AF2"/>
    <w:rsid w:val="00997EBF"/>
    <w:rsid w:val="009A020D"/>
    <w:rsid w:val="009A08BE"/>
    <w:rsid w:val="009A1478"/>
    <w:rsid w:val="009A1765"/>
    <w:rsid w:val="009A1820"/>
    <w:rsid w:val="009A2045"/>
    <w:rsid w:val="009A2352"/>
    <w:rsid w:val="009A2471"/>
    <w:rsid w:val="009A26E6"/>
    <w:rsid w:val="009A322D"/>
    <w:rsid w:val="009A3438"/>
    <w:rsid w:val="009A3C5D"/>
    <w:rsid w:val="009A4266"/>
    <w:rsid w:val="009A4D4D"/>
    <w:rsid w:val="009A50FF"/>
    <w:rsid w:val="009A5105"/>
    <w:rsid w:val="009A51C1"/>
    <w:rsid w:val="009A558C"/>
    <w:rsid w:val="009A5685"/>
    <w:rsid w:val="009A5CE4"/>
    <w:rsid w:val="009A5E33"/>
    <w:rsid w:val="009A5E6C"/>
    <w:rsid w:val="009A6036"/>
    <w:rsid w:val="009A62B4"/>
    <w:rsid w:val="009A6313"/>
    <w:rsid w:val="009A6316"/>
    <w:rsid w:val="009A6C54"/>
    <w:rsid w:val="009A6C61"/>
    <w:rsid w:val="009A72E5"/>
    <w:rsid w:val="009A73FE"/>
    <w:rsid w:val="009A7564"/>
    <w:rsid w:val="009A7875"/>
    <w:rsid w:val="009B0278"/>
    <w:rsid w:val="009B06C9"/>
    <w:rsid w:val="009B12DF"/>
    <w:rsid w:val="009B14CD"/>
    <w:rsid w:val="009B1A84"/>
    <w:rsid w:val="009B1B20"/>
    <w:rsid w:val="009B23C6"/>
    <w:rsid w:val="009B2BFF"/>
    <w:rsid w:val="009B2CA5"/>
    <w:rsid w:val="009B36F2"/>
    <w:rsid w:val="009B3897"/>
    <w:rsid w:val="009B3A4F"/>
    <w:rsid w:val="009B505F"/>
    <w:rsid w:val="009B5A9A"/>
    <w:rsid w:val="009B5B73"/>
    <w:rsid w:val="009B5FB1"/>
    <w:rsid w:val="009B6372"/>
    <w:rsid w:val="009B684A"/>
    <w:rsid w:val="009B6D11"/>
    <w:rsid w:val="009B714B"/>
    <w:rsid w:val="009B77AE"/>
    <w:rsid w:val="009B7AC1"/>
    <w:rsid w:val="009C0215"/>
    <w:rsid w:val="009C0418"/>
    <w:rsid w:val="009C0B89"/>
    <w:rsid w:val="009C0E84"/>
    <w:rsid w:val="009C0EFA"/>
    <w:rsid w:val="009C1259"/>
    <w:rsid w:val="009C1982"/>
    <w:rsid w:val="009C1F04"/>
    <w:rsid w:val="009C216C"/>
    <w:rsid w:val="009C258C"/>
    <w:rsid w:val="009C2608"/>
    <w:rsid w:val="009C2A3D"/>
    <w:rsid w:val="009C328C"/>
    <w:rsid w:val="009C3D63"/>
    <w:rsid w:val="009C4103"/>
    <w:rsid w:val="009C4306"/>
    <w:rsid w:val="009C43AA"/>
    <w:rsid w:val="009C4753"/>
    <w:rsid w:val="009C4ADE"/>
    <w:rsid w:val="009C4D15"/>
    <w:rsid w:val="009C5906"/>
    <w:rsid w:val="009C5CF8"/>
    <w:rsid w:val="009C5F0A"/>
    <w:rsid w:val="009C6363"/>
    <w:rsid w:val="009C6398"/>
    <w:rsid w:val="009C63B3"/>
    <w:rsid w:val="009C6A59"/>
    <w:rsid w:val="009C799D"/>
    <w:rsid w:val="009C7C00"/>
    <w:rsid w:val="009D00C6"/>
    <w:rsid w:val="009D0759"/>
    <w:rsid w:val="009D09F2"/>
    <w:rsid w:val="009D12DF"/>
    <w:rsid w:val="009D1689"/>
    <w:rsid w:val="009D1B30"/>
    <w:rsid w:val="009D1C99"/>
    <w:rsid w:val="009D2635"/>
    <w:rsid w:val="009D2DFF"/>
    <w:rsid w:val="009D3175"/>
    <w:rsid w:val="009D349F"/>
    <w:rsid w:val="009D388C"/>
    <w:rsid w:val="009D3AFA"/>
    <w:rsid w:val="009D3B83"/>
    <w:rsid w:val="009D40AB"/>
    <w:rsid w:val="009D455D"/>
    <w:rsid w:val="009D4BEB"/>
    <w:rsid w:val="009D6EF4"/>
    <w:rsid w:val="009D771A"/>
    <w:rsid w:val="009E005E"/>
    <w:rsid w:val="009E0E40"/>
    <w:rsid w:val="009E0EB1"/>
    <w:rsid w:val="009E1314"/>
    <w:rsid w:val="009E13F9"/>
    <w:rsid w:val="009E168D"/>
    <w:rsid w:val="009E1A85"/>
    <w:rsid w:val="009E1C5B"/>
    <w:rsid w:val="009E1C5D"/>
    <w:rsid w:val="009E2063"/>
    <w:rsid w:val="009E2124"/>
    <w:rsid w:val="009E2155"/>
    <w:rsid w:val="009E21DE"/>
    <w:rsid w:val="009E2208"/>
    <w:rsid w:val="009E2890"/>
    <w:rsid w:val="009E30F2"/>
    <w:rsid w:val="009E34BD"/>
    <w:rsid w:val="009E3632"/>
    <w:rsid w:val="009E3C29"/>
    <w:rsid w:val="009E3D87"/>
    <w:rsid w:val="009E4AE9"/>
    <w:rsid w:val="009E4D8A"/>
    <w:rsid w:val="009E51D1"/>
    <w:rsid w:val="009E560B"/>
    <w:rsid w:val="009E70E9"/>
    <w:rsid w:val="009E7697"/>
    <w:rsid w:val="009E7A2B"/>
    <w:rsid w:val="009E7D8D"/>
    <w:rsid w:val="009F0333"/>
    <w:rsid w:val="009F0EFA"/>
    <w:rsid w:val="009F1640"/>
    <w:rsid w:val="009F1705"/>
    <w:rsid w:val="009F181A"/>
    <w:rsid w:val="009F1D5C"/>
    <w:rsid w:val="009F1FF2"/>
    <w:rsid w:val="009F2161"/>
    <w:rsid w:val="009F255E"/>
    <w:rsid w:val="009F289E"/>
    <w:rsid w:val="009F30D3"/>
    <w:rsid w:val="009F3487"/>
    <w:rsid w:val="009F365D"/>
    <w:rsid w:val="009F3C9E"/>
    <w:rsid w:val="009F3FCF"/>
    <w:rsid w:val="009F40D0"/>
    <w:rsid w:val="009F414D"/>
    <w:rsid w:val="009F4262"/>
    <w:rsid w:val="009F4266"/>
    <w:rsid w:val="009F4EC4"/>
    <w:rsid w:val="009F4EF2"/>
    <w:rsid w:val="009F56ED"/>
    <w:rsid w:val="009F58BC"/>
    <w:rsid w:val="009F5AC7"/>
    <w:rsid w:val="009F5B0D"/>
    <w:rsid w:val="009F65CD"/>
    <w:rsid w:val="009F6FC0"/>
    <w:rsid w:val="009F70B5"/>
    <w:rsid w:val="009F7116"/>
    <w:rsid w:val="009F7346"/>
    <w:rsid w:val="009F73EB"/>
    <w:rsid w:val="009F7BFD"/>
    <w:rsid w:val="009F7D54"/>
    <w:rsid w:val="009F7F0B"/>
    <w:rsid w:val="00A0090C"/>
    <w:rsid w:val="00A00B9C"/>
    <w:rsid w:val="00A00BC2"/>
    <w:rsid w:val="00A0154B"/>
    <w:rsid w:val="00A016AC"/>
    <w:rsid w:val="00A01DAA"/>
    <w:rsid w:val="00A01F3E"/>
    <w:rsid w:val="00A0205F"/>
    <w:rsid w:val="00A029B5"/>
    <w:rsid w:val="00A02FCB"/>
    <w:rsid w:val="00A03910"/>
    <w:rsid w:val="00A03F34"/>
    <w:rsid w:val="00A04553"/>
    <w:rsid w:val="00A045B7"/>
    <w:rsid w:val="00A04B43"/>
    <w:rsid w:val="00A054BD"/>
    <w:rsid w:val="00A056E8"/>
    <w:rsid w:val="00A05758"/>
    <w:rsid w:val="00A0672C"/>
    <w:rsid w:val="00A068EF"/>
    <w:rsid w:val="00A06A0A"/>
    <w:rsid w:val="00A06E64"/>
    <w:rsid w:val="00A06F36"/>
    <w:rsid w:val="00A079DB"/>
    <w:rsid w:val="00A07C21"/>
    <w:rsid w:val="00A1048A"/>
    <w:rsid w:val="00A1125D"/>
    <w:rsid w:val="00A1157F"/>
    <w:rsid w:val="00A12C03"/>
    <w:rsid w:val="00A12D1B"/>
    <w:rsid w:val="00A132F6"/>
    <w:rsid w:val="00A13764"/>
    <w:rsid w:val="00A138DC"/>
    <w:rsid w:val="00A13C4F"/>
    <w:rsid w:val="00A14A20"/>
    <w:rsid w:val="00A14D30"/>
    <w:rsid w:val="00A14D50"/>
    <w:rsid w:val="00A150F1"/>
    <w:rsid w:val="00A1514D"/>
    <w:rsid w:val="00A160E2"/>
    <w:rsid w:val="00A1615D"/>
    <w:rsid w:val="00A161A6"/>
    <w:rsid w:val="00A167EA"/>
    <w:rsid w:val="00A16860"/>
    <w:rsid w:val="00A16C8D"/>
    <w:rsid w:val="00A16F40"/>
    <w:rsid w:val="00A17657"/>
    <w:rsid w:val="00A17753"/>
    <w:rsid w:val="00A17A17"/>
    <w:rsid w:val="00A17B04"/>
    <w:rsid w:val="00A17C98"/>
    <w:rsid w:val="00A17D30"/>
    <w:rsid w:val="00A20361"/>
    <w:rsid w:val="00A20437"/>
    <w:rsid w:val="00A21D5E"/>
    <w:rsid w:val="00A21D80"/>
    <w:rsid w:val="00A21DEC"/>
    <w:rsid w:val="00A2225F"/>
    <w:rsid w:val="00A225A8"/>
    <w:rsid w:val="00A22EBA"/>
    <w:rsid w:val="00A230B7"/>
    <w:rsid w:val="00A233B0"/>
    <w:rsid w:val="00A235E9"/>
    <w:rsid w:val="00A23782"/>
    <w:rsid w:val="00A23F9C"/>
    <w:rsid w:val="00A24069"/>
    <w:rsid w:val="00A246F1"/>
    <w:rsid w:val="00A24DBB"/>
    <w:rsid w:val="00A24DEB"/>
    <w:rsid w:val="00A24EA0"/>
    <w:rsid w:val="00A25031"/>
    <w:rsid w:val="00A250D2"/>
    <w:rsid w:val="00A25ED0"/>
    <w:rsid w:val="00A262D4"/>
    <w:rsid w:val="00A27054"/>
    <w:rsid w:val="00A3020A"/>
    <w:rsid w:val="00A3035E"/>
    <w:rsid w:val="00A30812"/>
    <w:rsid w:val="00A30C29"/>
    <w:rsid w:val="00A3111B"/>
    <w:rsid w:val="00A31788"/>
    <w:rsid w:val="00A31C5D"/>
    <w:rsid w:val="00A32665"/>
    <w:rsid w:val="00A32D7A"/>
    <w:rsid w:val="00A330B1"/>
    <w:rsid w:val="00A33256"/>
    <w:rsid w:val="00A33906"/>
    <w:rsid w:val="00A33CB0"/>
    <w:rsid w:val="00A33D46"/>
    <w:rsid w:val="00A33F2E"/>
    <w:rsid w:val="00A3415C"/>
    <w:rsid w:val="00A341E3"/>
    <w:rsid w:val="00A34937"/>
    <w:rsid w:val="00A34AC8"/>
    <w:rsid w:val="00A34EBF"/>
    <w:rsid w:val="00A3587E"/>
    <w:rsid w:val="00A3635E"/>
    <w:rsid w:val="00A36E54"/>
    <w:rsid w:val="00A37543"/>
    <w:rsid w:val="00A379DF"/>
    <w:rsid w:val="00A40101"/>
    <w:rsid w:val="00A401B6"/>
    <w:rsid w:val="00A402B4"/>
    <w:rsid w:val="00A4050A"/>
    <w:rsid w:val="00A40839"/>
    <w:rsid w:val="00A412BF"/>
    <w:rsid w:val="00A416CB"/>
    <w:rsid w:val="00A41970"/>
    <w:rsid w:val="00A42788"/>
    <w:rsid w:val="00A42AEB"/>
    <w:rsid w:val="00A43031"/>
    <w:rsid w:val="00A433C7"/>
    <w:rsid w:val="00A433CA"/>
    <w:rsid w:val="00A43897"/>
    <w:rsid w:val="00A4436B"/>
    <w:rsid w:val="00A44A2A"/>
    <w:rsid w:val="00A46075"/>
    <w:rsid w:val="00A46729"/>
    <w:rsid w:val="00A46AA6"/>
    <w:rsid w:val="00A470CE"/>
    <w:rsid w:val="00A47339"/>
    <w:rsid w:val="00A473D1"/>
    <w:rsid w:val="00A474CC"/>
    <w:rsid w:val="00A47B65"/>
    <w:rsid w:val="00A47CBB"/>
    <w:rsid w:val="00A5002E"/>
    <w:rsid w:val="00A50553"/>
    <w:rsid w:val="00A50620"/>
    <w:rsid w:val="00A507A4"/>
    <w:rsid w:val="00A50962"/>
    <w:rsid w:val="00A50AFC"/>
    <w:rsid w:val="00A510DE"/>
    <w:rsid w:val="00A51115"/>
    <w:rsid w:val="00A51441"/>
    <w:rsid w:val="00A517FD"/>
    <w:rsid w:val="00A51B3E"/>
    <w:rsid w:val="00A528B9"/>
    <w:rsid w:val="00A52DC9"/>
    <w:rsid w:val="00A52F0E"/>
    <w:rsid w:val="00A531EF"/>
    <w:rsid w:val="00A5398A"/>
    <w:rsid w:val="00A53B0A"/>
    <w:rsid w:val="00A53F77"/>
    <w:rsid w:val="00A54076"/>
    <w:rsid w:val="00A54D53"/>
    <w:rsid w:val="00A54D71"/>
    <w:rsid w:val="00A5587B"/>
    <w:rsid w:val="00A55A95"/>
    <w:rsid w:val="00A55BC4"/>
    <w:rsid w:val="00A55D70"/>
    <w:rsid w:val="00A560BD"/>
    <w:rsid w:val="00A56239"/>
    <w:rsid w:val="00A56280"/>
    <w:rsid w:val="00A565A4"/>
    <w:rsid w:val="00A56982"/>
    <w:rsid w:val="00A56DE6"/>
    <w:rsid w:val="00A56E44"/>
    <w:rsid w:val="00A57578"/>
    <w:rsid w:val="00A57E30"/>
    <w:rsid w:val="00A57E6A"/>
    <w:rsid w:val="00A60D12"/>
    <w:rsid w:val="00A615E3"/>
    <w:rsid w:val="00A616D4"/>
    <w:rsid w:val="00A617CA"/>
    <w:rsid w:val="00A617E4"/>
    <w:rsid w:val="00A61D17"/>
    <w:rsid w:val="00A62388"/>
    <w:rsid w:val="00A630D3"/>
    <w:rsid w:val="00A6314E"/>
    <w:rsid w:val="00A637C5"/>
    <w:rsid w:val="00A63B26"/>
    <w:rsid w:val="00A63D00"/>
    <w:rsid w:val="00A64B98"/>
    <w:rsid w:val="00A651D5"/>
    <w:rsid w:val="00A65748"/>
    <w:rsid w:val="00A657C3"/>
    <w:rsid w:val="00A65B26"/>
    <w:rsid w:val="00A65DC0"/>
    <w:rsid w:val="00A66874"/>
    <w:rsid w:val="00A66E25"/>
    <w:rsid w:val="00A66EE0"/>
    <w:rsid w:val="00A6770D"/>
    <w:rsid w:val="00A677A3"/>
    <w:rsid w:val="00A67C16"/>
    <w:rsid w:val="00A67DD6"/>
    <w:rsid w:val="00A67EB5"/>
    <w:rsid w:val="00A708ED"/>
    <w:rsid w:val="00A70F93"/>
    <w:rsid w:val="00A710B6"/>
    <w:rsid w:val="00A7115E"/>
    <w:rsid w:val="00A71C39"/>
    <w:rsid w:val="00A71D8F"/>
    <w:rsid w:val="00A71D97"/>
    <w:rsid w:val="00A725AD"/>
    <w:rsid w:val="00A72913"/>
    <w:rsid w:val="00A72951"/>
    <w:rsid w:val="00A7306D"/>
    <w:rsid w:val="00A7395D"/>
    <w:rsid w:val="00A73B12"/>
    <w:rsid w:val="00A742D0"/>
    <w:rsid w:val="00A74470"/>
    <w:rsid w:val="00A74B6D"/>
    <w:rsid w:val="00A74DCB"/>
    <w:rsid w:val="00A7512D"/>
    <w:rsid w:val="00A75466"/>
    <w:rsid w:val="00A759F6"/>
    <w:rsid w:val="00A75CC4"/>
    <w:rsid w:val="00A75F33"/>
    <w:rsid w:val="00A765E5"/>
    <w:rsid w:val="00A76927"/>
    <w:rsid w:val="00A76DF9"/>
    <w:rsid w:val="00A77074"/>
    <w:rsid w:val="00A773A6"/>
    <w:rsid w:val="00A7752F"/>
    <w:rsid w:val="00A77842"/>
    <w:rsid w:val="00A77A48"/>
    <w:rsid w:val="00A77B52"/>
    <w:rsid w:val="00A77D26"/>
    <w:rsid w:val="00A804F2"/>
    <w:rsid w:val="00A81172"/>
    <w:rsid w:val="00A819E3"/>
    <w:rsid w:val="00A81D4C"/>
    <w:rsid w:val="00A82140"/>
    <w:rsid w:val="00A830B9"/>
    <w:rsid w:val="00A83483"/>
    <w:rsid w:val="00A836FF"/>
    <w:rsid w:val="00A83EA5"/>
    <w:rsid w:val="00A8539C"/>
    <w:rsid w:val="00A85D8C"/>
    <w:rsid w:val="00A85E92"/>
    <w:rsid w:val="00A86549"/>
    <w:rsid w:val="00A877E8"/>
    <w:rsid w:val="00A879AB"/>
    <w:rsid w:val="00A87B2F"/>
    <w:rsid w:val="00A903A7"/>
    <w:rsid w:val="00A90519"/>
    <w:rsid w:val="00A90F6A"/>
    <w:rsid w:val="00A913C8"/>
    <w:rsid w:val="00A91856"/>
    <w:rsid w:val="00A91966"/>
    <w:rsid w:val="00A91CFC"/>
    <w:rsid w:val="00A9219E"/>
    <w:rsid w:val="00A9241B"/>
    <w:rsid w:val="00A92702"/>
    <w:rsid w:val="00A932E5"/>
    <w:rsid w:val="00A93549"/>
    <w:rsid w:val="00A9383A"/>
    <w:rsid w:val="00A938F4"/>
    <w:rsid w:val="00A93AC0"/>
    <w:rsid w:val="00A93E9E"/>
    <w:rsid w:val="00A93EB6"/>
    <w:rsid w:val="00A940D0"/>
    <w:rsid w:val="00A94913"/>
    <w:rsid w:val="00A9515F"/>
    <w:rsid w:val="00A95830"/>
    <w:rsid w:val="00A95936"/>
    <w:rsid w:val="00A95AE6"/>
    <w:rsid w:val="00A95B94"/>
    <w:rsid w:val="00A96961"/>
    <w:rsid w:val="00A971CE"/>
    <w:rsid w:val="00A97271"/>
    <w:rsid w:val="00A972C6"/>
    <w:rsid w:val="00A974AC"/>
    <w:rsid w:val="00A97676"/>
    <w:rsid w:val="00A97829"/>
    <w:rsid w:val="00A97FF4"/>
    <w:rsid w:val="00AA11B3"/>
    <w:rsid w:val="00AA1D05"/>
    <w:rsid w:val="00AA25FA"/>
    <w:rsid w:val="00AA318B"/>
    <w:rsid w:val="00AA3292"/>
    <w:rsid w:val="00AA3A29"/>
    <w:rsid w:val="00AA3D24"/>
    <w:rsid w:val="00AA3D7D"/>
    <w:rsid w:val="00AA4319"/>
    <w:rsid w:val="00AA437D"/>
    <w:rsid w:val="00AA44E1"/>
    <w:rsid w:val="00AA4ECF"/>
    <w:rsid w:val="00AA58A2"/>
    <w:rsid w:val="00AA5D17"/>
    <w:rsid w:val="00AA5DCE"/>
    <w:rsid w:val="00AA64A0"/>
    <w:rsid w:val="00AA7256"/>
    <w:rsid w:val="00AA72B0"/>
    <w:rsid w:val="00AA776C"/>
    <w:rsid w:val="00AB0201"/>
    <w:rsid w:val="00AB091B"/>
    <w:rsid w:val="00AB0AB7"/>
    <w:rsid w:val="00AB0D51"/>
    <w:rsid w:val="00AB0FB2"/>
    <w:rsid w:val="00AB103D"/>
    <w:rsid w:val="00AB1998"/>
    <w:rsid w:val="00AB1FE6"/>
    <w:rsid w:val="00AB2C9C"/>
    <w:rsid w:val="00AB2D94"/>
    <w:rsid w:val="00AB3293"/>
    <w:rsid w:val="00AB37B7"/>
    <w:rsid w:val="00AB3F0F"/>
    <w:rsid w:val="00AB40CC"/>
    <w:rsid w:val="00AB5B26"/>
    <w:rsid w:val="00AB62A9"/>
    <w:rsid w:val="00AB6802"/>
    <w:rsid w:val="00AB6836"/>
    <w:rsid w:val="00AB689B"/>
    <w:rsid w:val="00AB75B5"/>
    <w:rsid w:val="00AB7C8C"/>
    <w:rsid w:val="00AC04C9"/>
    <w:rsid w:val="00AC0D7A"/>
    <w:rsid w:val="00AC1A26"/>
    <w:rsid w:val="00AC1CD5"/>
    <w:rsid w:val="00AC1F75"/>
    <w:rsid w:val="00AC1FCD"/>
    <w:rsid w:val="00AC314C"/>
    <w:rsid w:val="00AC3DD2"/>
    <w:rsid w:val="00AC414F"/>
    <w:rsid w:val="00AC476C"/>
    <w:rsid w:val="00AC4E50"/>
    <w:rsid w:val="00AC5B34"/>
    <w:rsid w:val="00AC5D8A"/>
    <w:rsid w:val="00AC6184"/>
    <w:rsid w:val="00AC6326"/>
    <w:rsid w:val="00AC6649"/>
    <w:rsid w:val="00AC67BE"/>
    <w:rsid w:val="00AC6DEC"/>
    <w:rsid w:val="00AC70F8"/>
    <w:rsid w:val="00AC732D"/>
    <w:rsid w:val="00AC7377"/>
    <w:rsid w:val="00AC739B"/>
    <w:rsid w:val="00AC766C"/>
    <w:rsid w:val="00AC776D"/>
    <w:rsid w:val="00AC7972"/>
    <w:rsid w:val="00AC7BC1"/>
    <w:rsid w:val="00AC7E2E"/>
    <w:rsid w:val="00AD0832"/>
    <w:rsid w:val="00AD08D4"/>
    <w:rsid w:val="00AD0AB7"/>
    <w:rsid w:val="00AD0D3E"/>
    <w:rsid w:val="00AD16A5"/>
    <w:rsid w:val="00AD16EA"/>
    <w:rsid w:val="00AD197D"/>
    <w:rsid w:val="00AD26FB"/>
    <w:rsid w:val="00AD27AA"/>
    <w:rsid w:val="00AD2962"/>
    <w:rsid w:val="00AD2AD4"/>
    <w:rsid w:val="00AD2DAF"/>
    <w:rsid w:val="00AD319C"/>
    <w:rsid w:val="00AD355C"/>
    <w:rsid w:val="00AD3FC5"/>
    <w:rsid w:val="00AD4134"/>
    <w:rsid w:val="00AD530F"/>
    <w:rsid w:val="00AD5AAA"/>
    <w:rsid w:val="00AD6819"/>
    <w:rsid w:val="00AD69EC"/>
    <w:rsid w:val="00AD6E3B"/>
    <w:rsid w:val="00AD71C2"/>
    <w:rsid w:val="00AD75DB"/>
    <w:rsid w:val="00AD7D5E"/>
    <w:rsid w:val="00AD7F91"/>
    <w:rsid w:val="00AE024B"/>
    <w:rsid w:val="00AE04E1"/>
    <w:rsid w:val="00AE0B30"/>
    <w:rsid w:val="00AE0CA5"/>
    <w:rsid w:val="00AE10AC"/>
    <w:rsid w:val="00AE12A3"/>
    <w:rsid w:val="00AE16E5"/>
    <w:rsid w:val="00AE1AD8"/>
    <w:rsid w:val="00AE1EAB"/>
    <w:rsid w:val="00AE2623"/>
    <w:rsid w:val="00AE2659"/>
    <w:rsid w:val="00AE2ECC"/>
    <w:rsid w:val="00AE379D"/>
    <w:rsid w:val="00AE37F6"/>
    <w:rsid w:val="00AE3836"/>
    <w:rsid w:val="00AE387E"/>
    <w:rsid w:val="00AE3BB5"/>
    <w:rsid w:val="00AE3FF0"/>
    <w:rsid w:val="00AE4143"/>
    <w:rsid w:val="00AE4284"/>
    <w:rsid w:val="00AE437F"/>
    <w:rsid w:val="00AE47B9"/>
    <w:rsid w:val="00AE52F3"/>
    <w:rsid w:val="00AE5A9B"/>
    <w:rsid w:val="00AE5C63"/>
    <w:rsid w:val="00AE5F6F"/>
    <w:rsid w:val="00AE6056"/>
    <w:rsid w:val="00AE61ED"/>
    <w:rsid w:val="00AE6219"/>
    <w:rsid w:val="00AE651F"/>
    <w:rsid w:val="00AE6EB1"/>
    <w:rsid w:val="00AE7281"/>
    <w:rsid w:val="00AF02A3"/>
    <w:rsid w:val="00AF063A"/>
    <w:rsid w:val="00AF077E"/>
    <w:rsid w:val="00AF0CD5"/>
    <w:rsid w:val="00AF17D5"/>
    <w:rsid w:val="00AF1CC3"/>
    <w:rsid w:val="00AF1D6E"/>
    <w:rsid w:val="00AF1E15"/>
    <w:rsid w:val="00AF1E58"/>
    <w:rsid w:val="00AF27FF"/>
    <w:rsid w:val="00AF31C6"/>
    <w:rsid w:val="00AF39EC"/>
    <w:rsid w:val="00AF3E69"/>
    <w:rsid w:val="00AF3F40"/>
    <w:rsid w:val="00AF40D8"/>
    <w:rsid w:val="00AF42F9"/>
    <w:rsid w:val="00AF4EE9"/>
    <w:rsid w:val="00AF500F"/>
    <w:rsid w:val="00AF5010"/>
    <w:rsid w:val="00AF5125"/>
    <w:rsid w:val="00AF5DE5"/>
    <w:rsid w:val="00AF5DE7"/>
    <w:rsid w:val="00AF630C"/>
    <w:rsid w:val="00AF6941"/>
    <w:rsid w:val="00AF6E86"/>
    <w:rsid w:val="00AF7135"/>
    <w:rsid w:val="00AF727F"/>
    <w:rsid w:val="00AF7339"/>
    <w:rsid w:val="00AF7499"/>
    <w:rsid w:val="00AF785E"/>
    <w:rsid w:val="00AF78C8"/>
    <w:rsid w:val="00AF7926"/>
    <w:rsid w:val="00AF7B6F"/>
    <w:rsid w:val="00B0015E"/>
    <w:rsid w:val="00B001A2"/>
    <w:rsid w:val="00B0021A"/>
    <w:rsid w:val="00B00891"/>
    <w:rsid w:val="00B009AA"/>
    <w:rsid w:val="00B010BF"/>
    <w:rsid w:val="00B01351"/>
    <w:rsid w:val="00B01395"/>
    <w:rsid w:val="00B01BE7"/>
    <w:rsid w:val="00B01DA9"/>
    <w:rsid w:val="00B01F17"/>
    <w:rsid w:val="00B028D8"/>
    <w:rsid w:val="00B02AC1"/>
    <w:rsid w:val="00B02E1C"/>
    <w:rsid w:val="00B03ED9"/>
    <w:rsid w:val="00B04F23"/>
    <w:rsid w:val="00B04FE5"/>
    <w:rsid w:val="00B05123"/>
    <w:rsid w:val="00B056F1"/>
    <w:rsid w:val="00B0587C"/>
    <w:rsid w:val="00B05CE4"/>
    <w:rsid w:val="00B06309"/>
    <w:rsid w:val="00B06B7F"/>
    <w:rsid w:val="00B06F14"/>
    <w:rsid w:val="00B070D1"/>
    <w:rsid w:val="00B071E6"/>
    <w:rsid w:val="00B07469"/>
    <w:rsid w:val="00B07E7B"/>
    <w:rsid w:val="00B103A6"/>
    <w:rsid w:val="00B104DA"/>
    <w:rsid w:val="00B10A85"/>
    <w:rsid w:val="00B10A93"/>
    <w:rsid w:val="00B1125F"/>
    <w:rsid w:val="00B12327"/>
    <w:rsid w:val="00B12E70"/>
    <w:rsid w:val="00B12ED4"/>
    <w:rsid w:val="00B12F0B"/>
    <w:rsid w:val="00B134E3"/>
    <w:rsid w:val="00B1381E"/>
    <w:rsid w:val="00B13FF6"/>
    <w:rsid w:val="00B1425F"/>
    <w:rsid w:val="00B144FA"/>
    <w:rsid w:val="00B150CC"/>
    <w:rsid w:val="00B154C3"/>
    <w:rsid w:val="00B157A5"/>
    <w:rsid w:val="00B16249"/>
    <w:rsid w:val="00B16485"/>
    <w:rsid w:val="00B1660B"/>
    <w:rsid w:val="00B168E0"/>
    <w:rsid w:val="00B1690C"/>
    <w:rsid w:val="00B16BDA"/>
    <w:rsid w:val="00B16C58"/>
    <w:rsid w:val="00B17237"/>
    <w:rsid w:val="00B1755C"/>
    <w:rsid w:val="00B20927"/>
    <w:rsid w:val="00B2144F"/>
    <w:rsid w:val="00B21841"/>
    <w:rsid w:val="00B21963"/>
    <w:rsid w:val="00B21C89"/>
    <w:rsid w:val="00B21E0E"/>
    <w:rsid w:val="00B21FDF"/>
    <w:rsid w:val="00B233AE"/>
    <w:rsid w:val="00B23684"/>
    <w:rsid w:val="00B23F2A"/>
    <w:rsid w:val="00B24150"/>
    <w:rsid w:val="00B24C06"/>
    <w:rsid w:val="00B24E0A"/>
    <w:rsid w:val="00B254CF"/>
    <w:rsid w:val="00B25564"/>
    <w:rsid w:val="00B25566"/>
    <w:rsid w:val="00B25AB9"/>
    <w:rsid w:val="00B25D25"/>
    <w:rsid w:val="00B25E57"/>
    <w:rsid w:val="00B2622C"/>
    <w:rsid w:val="00B26430"/>
    <w:rsid w:val="00B26661"/>
    <w:rsid w:val="00B26824"/>
    <w:rsid w:val="00B27533"/>
    <w:rsid w:val="00B2769C"/>
    <w:rsid w:val="00B27ED6"/>
    <w:rsid w:val="00B300A3"/>
    <w:rsid w:val="00B3077B"/>
    <w:rsid w:val="00B30EBE"/>
    <w:rsid w:val="00B312C3"/>
    <w:rsid w:val="00B314E2"/>
    <w:rsid w:val="00B315D7"/>
    <w:rsid w:val="00B31FD6"/>
    <w:rsid w:val="00B32122"/>
    <w:rsid w:val="00B321FF"/>
    <w:rsid w:val="00B32549"/>
    <w:rsid w:val="00B325A7"/>
    <w:rsid w:val="00B32789"/>
    <w:rsid w:val="00B32BC5"/>
    <w:rsid w:val="00B32BF0"/>
    <w:rsid w:val="00B32D44"/>
    <w:rsid w:val="00B32FD6"/>
    <w:rsid w:val="00B336EB"/>
    <w:rsid w:val="00B33B07"/>
    <w:rsid w:val="00B33BC4"/>
    <w:rsid w:val="00B33C0C"/>
    <w:rsid w:val="00B33E48"/>
    <w:rsid w:val="00B34178"/>
    <w:rsid w:val="00B35011"/>
    <w:rsid w:val="00B350F0"/>
    <w:rsid w:val="00B35191"/>
    <w:rsid w:val="00B35937"/>
    <w:rsid w:val="00B3598B"/>
    <w:rsid w:val="00B35BE9"/>
    <w:rsid w:val="00B35E9E"/>
    <w:rsid w:val="00B35F6E"/>
    <w:rsid w:val="00B36743"/>
    <w:rsid w:val="00B36AC7"/>
    <w:rsid w:val="00B36E85"/>
    <w:rsid w:val="00B3703B"/>
    <w:rsid w:val="00B3733F"/>
    <w:rsid w:val="00B37CE2"/>
    <w:rsid w:val="00B37DAA"/>
    <w:rsid w:val="00B37E59"/>
    <w:rsid w:val="00B40370"/>
    <w:rsid w:val="00B4073B"/>
    <w:rsid w:val="00B40C54"/>
    <w:rsid w:val="00B412B1"/>
    <w:rsid w:val="00B41C51"/>
    <w:rsid w:val="00B42869"/>
    <w:rsid w:val="00B432C2"/>
    <w:rsid w:val="00B4363F"/>
    <w:rsid w:val="00B43EB2"/>
    <w:rsid w:val="00B4415F"/>
    <w:rsid w:val="00B4425D"/>
    <w:rsid w:val="00B449E4"/>
    <w:rsid w:val="00B44AFA"/>
    <w:rsid w:val="00B45C24"/>
    <w:rsid w:val="00B46261"/>
    <w:rsid w:val="00B46D2B"/>
    <w:rsid w:val="00B47BB7"/>
    <w:rsid w:val="00B504FF"/>
    <w:rsid w:val="00B508B0"/>
    <w:rsid w:val="00B50C66"/>
    <w:rsid w:val="00B5126A"/>
    <w:rsid w:val="00B5182B"/>
    <w:rsid w:val="00B518ED"/>
    <w:rsid w:val="00B51D0C"/>
    <w:rsid w:val="00B5211A"/>
    <w:rsid w:val="00B5237C"/>
    <w:rsid w:val="00B52861"/>
    <w:rsid w:val="00B52B6C"/>
    <w:rsid w:val="00B5316B"/>
    <w:rsid w:val="00B53737"/>
    <w:rsid w:val="00B53938"/>
    <w:rsid w:val="00B5402B"/>
    <w:rsid w:val="00B5425B"/>
    <w:rsid w:val="00B543CB"/>
    <w:rsid w:val="00B54A25"/>
    <w:rsid w:val="00B5546F"/>
    <w:rsid w:val="00B55B2D"/>
    <w:rsid w:val="00B55BD2"/>
    <w:rsid w:val="00B55CE6"/>
    <w:rsid w:val="00B55E66"/>
    <w:rsid w:val="00B5672E"/>
    <w:rsid w:val="00B56F18"/>
    <w:rsid w:val="00B572CB"/>
    <w:rsid w:val="00B57C5A"/>
    <w:rsid w:val="00B60A18"/>
    <w:rsid w:val="00B60C48"/>
    <w:rsid w:val="00B60FFC"/>
    <w:rsid w:val="00B61549"/>
    <w:rsid w:val="00B618A4"/>
    <w:rsid w:val="00B61AE1"/>
    <w:rsid w:val="00B61B00"/>
    <w:rsid w:val="00B62478"/>
    <w:rsid w:val="00B624CF"/>
    <w:rsid w:val="00B625CF"/>
    <w:rsid w:val="00B626B6"/>
    <w:rsid w:val="00B63230"/>
    <w:rsid w:val="00B63488"/>
    <w:rsid w:val="00B63943"/>
    <w:rsid w:val="00B6442F"/>
    <w:rsid w:val="00B644D3"/>
    <w:rsid w:val="00B64656"/>
    <w:rsid w:val="00B64AA3"/>
    <w:rsid w:val="00B64B16"/>
    <w:rsid w:val="00B6580D"/>
    <w:rsid w:val="00B65B81"/>
    <w:rsid w:val="00B65E8A"/>
    <w:rsid w:val="00B66029"/>
    <w:rsid w:val="00B6603A"/>
    <w:rsid w:val="00B6666C"/>
    <w:rsid w:val="00B670EB"/>
    <w:rsid w:val="00B6714D"/>
    <w:rsid w:val="00B6745E"/>
    <w:rsid w:val="00B67574"/>
    <w:rsid w:val="00B67BA7"/>
    <w:rsid w:val="00B67D81"/>
    <w:rsid w:val="00B67F2C"/>
    <w:rsid w:val="00B67F3E"/>
    <w:rsid w:val="00B709D5"/>
    <w:rsid w:val="00B70B55"/>
    <w:rsid w:val="00B712A2"/>
    <w:rsid w:val="00B71345"/>
    <w:rsid w:val="00B71752"/>
    <w:rsid w:val="00B717E8"/>
    <w:rsid w:val="00B7187E"/>
    <w:rsid w:val="00B71AF8"/>
    <w:rsid w:val="00B72E93"/>
    <w:rsid w:val="00B7311D"/>
    <w:rsid w:val="00B747B5"/>
    <w:rsid w:val="00B74AD2"/>
    <w:rsid w:val="00B74C3B"/>
    <w:rsid w:val="00B75096"/>
    <w:rsid w:val="00B7514B"/>
    <w:rsid w:val="00B75985"/>
    <w:rsid w:val="00B761E9"/>
    <w:rsid w:val="00B76434"/>
    <w:rsid w:val="00B76938"/>
    <w:rsid w:val="00B76C8C"/>
    <w:rsid w:val="00B76D8F"/>
    <w:rsid w:val="00B77021"/>
    <w:rsid w:val="00B77247"/>
    <w:rsid w:val="00B772EF"/>
    <w:rsid w:val="00B77B1B"/>
    <w:rsid w:val="00B77EA5"/>
    <w:rsid w:val="00B805EC"/>
    <w:rsid w:val="00B80AFA"/>
    <w:rsid w:val="00B80BCE"/>
    <w:rsid w:val="00B8138D"/>
    <w:rsid w:val="00B8165B"/>
    <w:rsid w:val="00B817EE"/>
    <w:rsid w:val="00B8243B"/>
    <w:rsid w:val="00B82591"/>
    <w:rsid w:val="00B8285F"/>
    <w:rsid w:val="00B82A7F"/>
    <w:rsid w:val="00B82E5C"/>
    <w:rsid w:val="00B8322C"/>
    <w:rsid w:val="00B83B43"/>
    <w:rsid w:val="00B842E8"/>
    <w:rsid w:val="00B845BF"/>
    <w:rsid w:val="00B8467B"/>
    <w:rsid w:val="00B84B5A"/>
    <w:rsid w:val="00B84FAB"/>
    <w:rsid w:val="00B854E2"/>
    <w:rsid w:val="00B85B44"/>
    <w:rsid w:val="00B867A1"/>
    <w:rsid w:val="00B869AA"/>
    <w:rsid w:val="00B874E2"/>
    <w:rsid w:val="00B87732"/>
    <w:rsid w:val="00B90AC2"/>
    <w:rsid w:val="00B90C32"/>
    <w:rsid w:val="00B91097"/>
    <w:rsid w:val="00B91115"/>
    <w:rsid w:val="00B91C9C"/>
    <w:rsid w:val="00B9208C"/>
    <w:rsid w:val="00B9269A"/>
    <w:rsid w:val="00B92931"/>
    <w:rsid w:val="00B92B14"/>
    <w:rsid w:val="00B92C53"/>
    <w:rsid w:val="00B92CD6"/>
    <w:rsid w:val="00B943DC"/>
    <w:rsid w:val="00B9475D"/>
    <w:rsid w:val="00B94F35"/>
    <w:rsid w:val="00B9540D"/>
    <w:rsid w:val="00B9555F"/>
    <w:rsid w:val="00B955D7"/>
    <w:rsid w:val="00B95C56"/>
    <w:rsid w:val="00B95D3F"/>
    <w:rsid w:val="00B95E4F"/>
    <w:rsid w:val="00B9715D"/>
    <w:rsid w:val="00B9754E"/>
    <w:rsid w:val="00B97CC1"/>
    <w:rsid w:val="00BA04CF"/>
    <w:rsid w:val="00BA0698"/>
    <w:rsid w:val="00BA14F8"/>
    <w:rsid w:val="00BA1800"/>
    <w:rsid w:val="00BA19C4"/>
    <w:rsid w:val="00BA1CDA"/>
    <w:rsid w:val="00BA1D3B"/>
    <w:rsid w:val="00BA2175"/>
    <w:rsid w:val="00BA21FD"/>
    <w:rsid w:val="00BA2DA6"/>
    <w:rsid w:val="00BA3596"/>
    <w:rsid w:val="00BA3616"/>
    <w:rsid w:val="00BA3814"/>
    <w:rsid w:val="00BA390F"/>
    <w:rsid w:val="00BA3F34"/>
    <w:rsid w:val="00BA440C"/>
    <w:rsid w:val="00BA547F"/>
    <w:rsid w:val="00BA5FE8"/>
    <w:rsid w:val="00BA64B7"/>
    <w:rsid w:val="00BA6706"/>
    <w:rsid w:val="00BA6DB4"/>
    <w:rsid w:val="00BA7567"/>
    <w:rsid w:val="00BA7622"/>
    <w:rsid w:val="00BA7CFC"/>
    <w:rsid w:val="00BA7D4C"/>
    <w:rsid w:val="00BB1562"/>
    <w:rsid w:val="00BB1933"/>
    <w:rsid w:val="00BB198C"/>
    <w:rsid w:val="00BB1BE2"/>
    <w:rsid w:val="00BB1EFE"/>
    <w:rsid w:val="00BB242E"/>
    <w:rsid w:val="00BB25F4"/>
    <w:rsid w:val="00BB2B78"/>
    <w:rsid w:val="00BB2DDE"/>
    <w:rsid w:val="00BB2F14"/>
    <w:rsid w:val="00BB30E6"/>
    <w:rsid w:val="00BB3623"/>
    <w:rsid w:val="00BB36FB"/>
    <w:rsid w:val="00BB3732"/>
    <w:rsid w:val="00BB392A"/>
    <w:rsid w:val="00BB3CEA"/>
    <w:rsid w:val="00BB4238"/>
    <w:rsid w:val="00BB4876"/>
    <w:rsid w:val="00BB4D91"/>
    <w:rsid w:val="00BB76A5"/>
    <w:rsid w:val="00BB7EE1"/>
    <w:rsid w:val="00BC0159"/>
    <w:rsid w:val="00BC04CC"/>
    <w:rsid w:val="00BC0B37"/>
    <w:rsid w:val="00BC1029"/>
    <w:rsid w:val="00BC12EA"/>
    <w:rsid w:val="00BC1316"/>
    <w:rsid w:val="00BC2033"/>
    <w:rsid w:val="00BC240B"/>
    <w:rsid w:val="00BC26E1"/>
    <w:rsid w:val="00BC2EFD"/>
    <w:rsid w:val="00BC2FBA"/>
    <w:rsid w:val="00BC3338"/>
    <w:rsid w:val="00BC3EB9"/>
    <w:rsid w:val="00BC469D"/>
    <w:rsid w:val="00BC4DE3"/>
    <w:rsid w:val="00BC4E41"/>
    <w:rsid w:val="00BC5639"/>
    <w:rsid w:val="00BC598C"/>
    <w:rsid w:val="00BC5B3F"/>
    <w:rsid w:val="00BC62C8"/>
    <w:rsid w:val="00BC62FE"/>
    <w:rsid w:val="00BC6305"/>
    <w:rsid w:val="00BC6A8E"/>
    <w:rsid w:val="00BC7865"/>
    <w:rsid w:val="00BC799F"/>
    <w:rsid w:val="00BC7DC5"/>
    <w:rsid w:val="00BD0501"/>
    <w:rsid w:val="00BD0560"/>
    <w:rsid w:val="00BD1513"/>
    <w:rsid w:val="00BD166A"/>
    <w:rsid w:val="00BD16B1"/>
    <w:rsid w:val="00BD182E"/>
    <w:rsid w:val="00BD18AB"/>
    <w:rsid w:val="00BD1AEE"/>
    <w:rsid w:val="00BD27B8"/>
    <w:rsid w:val="00BD3032"/>
    <w:rsid w:val="00BD30DE"/>
    <w:rsid w:val="00BD3E8E"/>
    <w:rsid w:val="00BD4034"/>
    <w:rsid w:val="00BD40F5"/>
    <w:rsid w:val="00BD441C"/>
    <w:rsid w:val="00BD4FD6"/>
    <w:rsid w:val="00BD5017"/>
    <w:rsid w:val="00BD509E"/>
    <w:rsid w:val="00BD56F8"/>
    <w:rsid w:val="00BD5E53"/>
    <w:rsid w:val="00BD5FDC"/>
    <w:rsid w:val="00BD6C8E"/>
    <w:rsid w:val="00BD74CF"/>
    <w:rsid w:val="00BD7945"/>
    <w:rsid w:val="00BD7E2A"/>
    <w:rsid w:val="00BE01F0"/>
    <w:rsid w:val="00BE1115"/>
    <w:rsid w:val="00BE12D1"/>
    <w:rsid w:val="00BE1461"/>
    <w:rsid w:val="00BE1853"/>
    <w:rsid w:val="00BE1A50"/>
    <w:rsid w:val="00BE1AD1"/>
    <w:rsid w:val="00BE1DB1"/>
    <w:rsid w:val="00BE24E2"/>
    <w:rsid w:val="00BE26B9"/>
    <w:rsid w:val="00BE285F"/>
    <w:rsid w:val="00BE2B94"/>
    <w:rsid w:val="00BE2EC7"/>
    <w:rsid w:val="00BE2EE9"/>
    <w:rsid w:val="00BE2EFE"/>
    <w:rsid w:val="00BE308F"/>
    <w:rsid w:val="00BE3E0B"/>
    <w:rsid w:val="00BE3E9B"/>
    <w:rsid w:val="00BE4279"/>
    <w:rsid w:val="00BE446F"/>
    <w:rsid w:val="00BE5F92"/>
    <w:rsid w:val="00BE6193"/>
    <w:rsid w:val="00BE671E"/>
    <w:rsid w:val="00BE6DB9"/>
    <w:rsid w:val="00BE7FD6"/>
    <w:rsid w:val="00BF0366"/>
    <w:rsid w:val="00BF036A"/>
    <w:rsid w:val="00BF048D"/>
    <w:rsid w:val="00BF0BDE"/>
    <w:rsid w:val="00BF0D86"/>
    <w:rsid w:val="00BF1EE6"/>
    <w:rsid w:val="00BF24B1"/>
    <w:rsid w:val="00BF2506"/>
    <w:rsid w:val="00BF2BA8"/>
    <w:rsid w:val="00BF3167"/>
    <w:rsid w:val="00BF3B4B"/>
    <w:rsid w:val="00BF4929"/>
    <w:rsid w:val="00BF492F"/>
    <w:rsid w:val="00BF4995"/>
    <w:rsid w:val="00BF544C"/>
    <w:rsid w:val="00BF5990"/>
    <w:rsid w:val="00BF67B8"/>
    <w:rsid w:val="00BF6CA7"/>
    <w:rsid w:val="00BF767B"/>
    <w:rsid w:val="00BF799A"/>
    <w:rsid w:val="00C00A80"/>
    <w:rsid w:val="00C01052"/>
    <w:rsid w:val="00C01458"/>
    <w:rsid w:val="00C0170C"/>
    <w:rsid w:val="00C01C3A"/>
    <w:rsid w:val="00C01DA9"/>
    <w:rsid w:val="00C01DFA"/>
    <w:rsid w:val="00C01EDC"/>
    <w:rsid w:val="00C02241"/>
    <w:rsid w:val="00C02348"/>
    <w:rsid w:val="00C023C7"/>
    <w:rsid w:val="00C02400"/>
    <w:rsid w:val="00C02960"/>
    <w:rsid w:val="00C02CF6"/>
    <w:rsid w:val="00C02D9E"/>
    <w:rsid w:val="00C03B2F"/>
    <w:rsid w:val="00C04405"/>
    <w:rsid w:val="00C04466"/>
    <w:rsid w:val="00C04B54"/>
    <w:rsid w:val="00C04EFE"/>
    <w:rsid w:val="00C05F61"/>
    <w:rsid w:val="00C0685B"/>
    <w:rsid w:val="00C07BB7"/>
    <w:rsid w:val="00C07CC9"/>
    <w:rsid w:val="00C10BA9"/>
    <w:rsid w:val="00C10F39"/>
    <w:rsid w:val="00C1114D"/>
    <w:rsid w:val="00C1119E"/>
    <w:rsid w:val="00C11202"/>
    <w:rsid w:val="00C119DC"/>
    <w:rsid w:val="00C11EB8"/>
    <w:rsid w:val="00C12FBD"/>
    <w:rsid w:val="00C131A2"/>
    <w:rsid w:val="00C13270"/>
    <w:rsid w:val="00C135C4"/>
    <w:rsid w:val="00C1367D"/>
    <w:rsid w:val="00C14FBE"/>
    <w:rsid w:val="00C1522A"/>
    <w:rsid w:val="00C15443"/>
    <w:rsid w:val="00C15AF0"/>
    <w:rsid w:val="00C167BA"/>
    <w:rsid w:val="00C16B37"/>
    <w:rsid w:val="00C1717C"/>
    <w:rsid w:val="00C17E75"/>
    <w:rsid w:val="00C2074E"/>
    <w:rsid w:val="00C21C2F"/>
    <w:rsid w:val="00C21C98"/>
    <w:rsid w:val="00C21DC0"/>
    <w:rsid w:val="00C21E4A"/>
    <w:rsid w:val="00C22A93"/>
    <w:rsid w:val="00C2302E"/>
    <w:rsid w:val="00C2309E"/>
    <w:rsid w:val="00C23323"/>
    <w:rsid w:val="00C23454"/>
    <w:rsid w:val="00C2383F"/>
    <w:rsid w:val="00C242FA"/>
    <w:rsid w:val="00C24525"/>
    <w:rsid w:val="00C245AC"/>
    <w:rsid w:val="00C2475E"/>
    <w:rsid w:val="00C24D78"/>
    <w:rsid w:val="00C250B9"/>
    <w:rsid w:val="00C253C4"/>
    <w:rsid w:val="00C25A95"/>
    <w:rsid w:val="00C25E29"/>
    <w:rsid w:val="00C266C6"/>
    <w:rsid w:val="00C2706B"/>
    <w:rsid w:val="00C27AD8"/>
    <w:rsid w:val="00C27D36"/>
    <w:rsid w:val="00C27E17"/>
    <w:rsid w:val="00C30692"/>
    <w:rsid w:val="00C31530"/>
    <w:rsid w:val="00C31C9D"/>
    <w:rsid w:val="00C31D83"/>
    <w:rsid w:val="00C31DB5"/>
    <w:rsid w:val="00C31E11"/>
    <w:rsid w:val="00C3269B"/>
    <w:rsid w:val="00C331A7"/>
    <w:rsid w:val="00C33304"/>
    <w:rsid w:val="00C339AD"/>
    <w:rsid w:val="00C33B83"/>
    <w:rsid w:val="00C33C90"/>
    <w:rsid w:val="00C34014"/>
    <w:rsid w:val="00C34139"/>
    <w:rsid w:val="00C342DC"/>
    <w:rsid w:val="00C3432C"/>
    <w:rsid w:val="00C34444"/>
    <w:rsid w:val="00C348FA"/>
    <w:rsid w:val="00C34A08"/>
    <w:rsid w:val="00C34B65"/>
    <w:rsid w:val="00C35195"/>
    <w:rsid w:val="00C36B21"/>
    <w:rsid w:val="00C36EAE"/>
    <w:rsid w:val="00C3710F"/>
    <w:rsid w:val="00C37143"/>
    <w:rsid w:val="00C37337"/>
    <w:rsid w:val="00C37760"/>
    <w:rsid w:val="00C37D21"/>
    <w:rsid w:val="00C40161"/>
    <w:rsid w:val="00C40281"/>
    <w:rsid w:val="00C41122"/>
    <w:rsid w:val="00C413FC"/>
    <w:rsid w:val="00C41C5F"/>
    <w:rsid w:val="00C42568"/>
    <w:rsid w:val="00C42D4E"/>
    <w:rsid w:val="00C42ECF"/>
    <w:rsid w:val="00C43183"/>
    <w:rsid w:val="00C43393"/>
    <w:rsid w:val="00C43B8A"/>
    <w:rsid w:val="00C44147"/>
    <w:rsid w:val="00C44585"/>
    <w:rsid w:val="00C447DF"/>
    <w:rsid w:val="00C4487A"/>
    <w:rsid w:val="00C45047"/>
    <w:rsid w:val="00C45434"/>
    <w:rsid w:val="00C45600"/>
    <w:rsid w:val="00C45850"/>
    <w:rsid w:val="00C45BB1"/>
    <w:rsid w:val="00C464D1"/>
    <w:rsid w:val="00C46861"/>
    <w:rsid w:val="00C46D57"/>
    <w:rsid w:val="00C46EA7"/>
    <w:rsid w:val="00C46F84"/>
    <w:rsid w:val="00C504BF"/>
    <w:rsid w:val="00C50743"/>
    <w:rsid w:val="00C50D18"/>
    <w:rsid w:val="00C50F40"/>
    <w:rsid w:val="00C511DB"/>
    <w:rsid w:val="00C5138B"/>
    <w:rsid w:val="00C51907"/>
    <w:rsid w:val="00C52DEE"/>
    <w:rsid w:val="00C5315B"/>
    <w:rsid w:val="00C535FA"/>
    <w:rsid w:val="00C53862"/>
    <w:rsid w:val="00C53F5A"/>
    <w:rsid w:val="00C540D9"/>
    <w:rsid w:val="00C540F1"/>
    <w:rsid w:val="00C54ABF"/>
    <w:rsid w:val="00C54B48"/>
    <w:rsid w:val="00C55013"/>
    <w:rsid w:val="00C5518B"/>
    <w:rsid w:val="00C563C9"/>
    <w:rsid w:val="00C563EB"/>
    <w:rsid w:val="00C565BF"/>
    <w:rsid w:val="00C5689F"/>
    <w:rsid w:val="00C60558"/>
    <w:rsid w:val="00C6109C"/>
    <w:rsid w:val="00C61EB7"/>
    <w:rsid w:val="00C6213F"/>
    <w:rsid w:val="00C639B6"/>
    <w:rsid w:val="00C63F31"/>
    <w:rsid w:val="00C646DE"/>
    <w:rsid w:val="00C64C85"/>
    <w:rsid w:val="00C6515E"/>
    <w:rsid w:val="00C662D7"/>
    <w:rsid w:val="00C67490"/>
    <w:rsid w:val="00C67543"/>
    <w:rsid w:val="00C6791E"/>
    <w:rsid w:val="00C67B70"/>
    <w:rsid w:val="00C701B5"/>
    <w:rsid w:val="00C71109"/>
    <w:rsid w:val="00C71731"/>
    <w:rsid w:val="00C71E32"/>
    <w:rsid w:val="00C72428"/>
    <w:rsid w:val="00C726E9"/>
    <w:rsid w:val="00C72810"/>
    <w:rsid w:val="00C72856"/>
    <w:rsid w:val="00C728C1"/>
    <w:rsid w:val="00C72EEA"/>
    <w:rsid w:val="00C73F1D"/>
    <w:rsid w:val="00C7519C"/>
    <w:rsid w:val="00C7557A"/>
    <w:rsid w:val="00C75843"/>
    <w:rsid w:val="00C75903"/>
    <w:rsid w:val="00C75E60"/>
    <w:rsid w:val="00C76940"/>
    <w:rsid w:val="00C76D4A"/>
    <w:rsid w:val="00C77987"/>
    <w:rsid w:val="00C77A5B"/>
    <w:rsid w:val="00C77BC8"/>
    <w:rsid w:val="00C80CAC"/>
    <w:rsid w:val="00C80DF5"/>
    <w:rsid w:val="00C80F7D"/>
    <w:rsid w:val="00C8119B"/>
    <w:rsid w:val="00C8188E"/>
    <w:rsid w:val="00C81AD6"/>
    <w:rsid w:val="00C823D6"/>
    <w:rsid w:val="00C82860"/>
    <w:rsid w:val="00C8336B"/>
    <w:rsid w:val="00C84117"/>
    <w:rsid w:val="00C84216"/>
    <w:rsid w:val="00C84567"/>
    <w:rsid w:val="00C84B0F"/>
    <w:rsid w:val="00C84D21"/>
    <w:rsid w:val="00C8506C"/>
    <w:rsid w:val="00C8510D"/>
    <w:rsid w:val="00C854C8"/>
    <w:rsid w:val="00C8591C"/>
    <w:rsid w:val="00C85EDD"/>
    <w:rsid w:val="00C8631E"/>
    <w:rsid w:val="00C87152"/>
    <w:rsid w:val="00C87412"/>
    <w:rsid w:val="00C879A0"/>
    <w:rsid w:val="00C87CE2"/>
    <w:rsid w:val="00C87F78"/>
    <w:rsid w:val="00C9017B"/>
    <w:rsid w:val="00C90831"/>
    <w:rsid w:val="00C908D2"/>
    <w:rsid w:val="00C90C16"/>
    <w:rsid w:val="00C91472"/>
    <w:rsid w:val="00C91D47"/>
    <w:rsid w:val="00C91EE4"/>
    <w:rsid w:val="00C920AE"/>
    <w:rsid w:val="00C92137"/>
    <w:rsid w:val="00C92AFD"/>
    <w:rsid w:val="00C93C77"/>
    <w:rsid w:val="00C943C9"/>
    <w:rsid w:val="00C94624"/>
    <w:rsid w:val="00C94971"/>
    <w:rsid w:val="00C94BF1"/>
    <w:rsid w:val="00C94D25"/>
    <w:rsid w:val="00C94F54"/>
    <w:rsid w:val="00C9518F"/>
    <w:rsid w:val="00C95896"/>
    <w:rsid w:val="00C95993"/>
    <w:rsid w:val="00C96392"/>
    <w:rsid w:val="00C965C9"/>
    <w:rsid w:val="00C97080"/>
    <w:rsid w:val="00C97B79"/>
    <w:rsid w:val="00C97DB6"/>
    <w:rsid w:val="00CA01B8"/>
    <w:rsid w:val="00CA0200"/>
    <w:rsid w:val="00CA0451"/>
    <w:rsid w:val="00CA06E8"/>
    <w:rsid w:val="00CA0989"/>
    <w:rsid w:val="00CA09A7"/>
    <w:rsid w:val="00CA0A9D"/>
    <w:rsid w:val="00CA1A2F"/>
    <w:rsid w:val="00CA2F00"/>
    <w:rsid w:val="00CA3A13"/>
    <w:rsid w:val="00CA3F7D"/>
    <w:rsid w:val="00CA43D3"/>
    <w:rsid w:val="00CA4419"/>
    <w:rsid w:val="00CA4495"/>
    <w:rsid w:val="00CA4978"/>
    <w:rsid w:val="00CA4A26"/>
    <w:rsid w:val="00CA5576"/>
    <w:rsid w:val="00CA5C3B"/>
    <w:rsid w:val="00CA61A5"/>
    <w:rsid w:val="00CA664D"/>
    <w:rsid w:val="00CA6685"/>
    <w:rsid w:val="00CA6793"/>
    <w:rsid w:val="00CA6AE1"/>
    <w:rsid w:val="00CA6D68"/>
    <w:rsid w:val="00CA6DC3"/>
    <w:rsid w:val="00CA6EDA"/>
    <w:rsid w:val="00CA71D5"/>
    <w:rsid w:val="00CA71E8"/>
    <w:rsid w:val="00CA71FB"/>
    <w:rsid w:val="00CA735B"/>
    <w:rsid w:val="00CA7577"/>
    <w:rsid w:val="00CA78B4"/>
    <w:rsid w:val="00CA7A5E"/>
    <w:rsid w:val="00CA7B3F"/>
    <w:rsid w:val="00CB0507"/>
    <w:rsid w:val="00CB0A53"/>
    <w:rsid w:val="00CB0F12"/>
    <w:rsid w:val="00CB106A"/>
    <w:rsid w:val="00CB12D5"/>
    <w:rsid w:val="00CB24BB"/>
    <w:rsid w:val="00CB2C33"/>
    <w:rsid w:val="00CB2EF5"/>
    <w:rsid w:val="00CB3537"/>
    <w:rsid w:val="00CB42D8"/>
    <w:rsid w:val="00CB4670"/>
    <w:rsid w:val="00CB46F7"/>
    <w:rsid w:val="00CB4730"/>
    <w:rsid w:val="00CB48E2"/>
    <w:rsid w:val="00CB4C9A"/>
    <w:rsid w:val="00CB56C7"/>
    <w:rsid w:val="00CB57DD"/>
    <w:rsid w:val="00CB5B83"/>
    <w:rsid w:val="00CB63D6"/>
    <w:rsid w:val="00CB6ACC"/>
    <w:rsid w:val="00CB6EC4"/>
    <w:rsid w:val="00CB7F7F"/>
    <w:rsid w:val="00CC06F0"/>
    <w:rsid w:val="00CC0C8B"/>
    <w:rsid w:val="00CC1402"/>
    <w:rsid w:val="00CC1978"/>
    <w:rsid w:val="00CC2BB6"/>
    <w:rsid w:val="00CC2BD8"/>
    <w:rsid w:val="00CC2C52"/>
    <w:rsid w:val="00CC2D4C"/>
    <w:rsid w:val="00CC3397"/>
    <w:rsid w:val="00CC3849"/>
    <w:rsid w:val="00CC3D03"/>
    <w:rsid w:val="00CC41C3"/>
    <w:rsid w:val="00CC47B6"/>
    <w:rsid w:val="00CC5287"/>
    <w:rsid w:val="00CC54A1"/>
    <w:rsid w:val="00CC5812"/>
    <w:rsid w:val="00CC5CEF"/>
    <w:rsid w:val="00CC622F"/>
    <w:rsid w:val="00CC628D"/>
    <w:rsid w:val="00CC64FA"/>
    <w:rsid w:val="00CC6D4A"/>
    <w:rsid w:val="00CC7C65"/>
    <w:rsid w:val="00CC7EFB"/>
    <w:rsid w:val="00CD1170"/>
    <w:rsid w:val="00CD140E"/>
    <w:rsid w:val="00CD149B"/>
    <w:rsid w:val="00CD1568"/>
    <w:rsid w:val="00CD1C00"/>
    <w:rsid w:val="00CD1F97"/>
    <w:rsid w:val="00CD1FAF"/>
    <w:rsid w:val="00CD25F9"/>
    <w:rsid w:val="00CD2D33"/>
    <w:rsid w:val="00CD2EDF"/>
    <w:rsid w:val="00CD3293"/>
    <w:rsid w:val="00CD3647"/>
    <w:rsid w:val="00CD3708"/>
    <w:rsid w:val="00CD388A"/>
    <w:rsid w:val="00CD3D8C"/>
    <w:rsid w:val="00CD432F"/>
    <w:rsid w:val="00CD4342"/>
    <w:rsid w:val="00CD4573"/>
    <w:rsid w:val="00CD4CCF"/>
    <w:rsid w:val="00CD546C"/>
    <w:rsid w:val="00CD5AED"/>
    <w:rsid w:val="00CD5F96"/>
    <w:rsid w:val="00CD5FF4"/>
    <w:rsid w:val="00CD62A5"/>
    <w:rsid w:val="00CD655C"/>
    <w:rsid w:val="00CD6825"/>
    <w:rsid w:val="00CD760E"/>
    <w:rsid w:val="00CD764B"/>
    <w:rsid w:val="00CD7795"/>
    <w:rsid w:val="00CD7C96"/>
    <w:rsid w:val="00CD7F44"/>
    <w:rsid w:val="00CE020B"/>
    <w:rsid w:val="00CE038A"/>
    <w:rsid w:val="00CE0647"/>
    <w:rsid w:val="00CE06C6"/>
    <w:rsid w:val="00CE0901"/>
    <w:rsid w:val="00CE093B"/>
    <w:rsid w:val="00CE09CA"/>
    <w:rsid w:val="00CE14D8"/>
    <w:rsid w:val="00CE1A6B"/>
    <w:rsid w:val="00CE1BB7"/>
    <w:rsid w:val="00CE2193"/>
    <w:rsid w:val="00CE24AC"/>
    <w:rsid w:val="00CE251B"/>
    <w:rsid w:val="00CE3933"/>
    <w:rsid w:val="00CE3A63"/>
    <w:rsid w:val="00CE3B9D"/>
    <w:rsid w:val="00CE3F07"/>
    <w:rsid w:val="00CE417E"/>
    <w:rsid w:val="00CE45F1"/>
    <w:rsid w:val="00CE4BD7"/>
    <w:rsid w:val="00CE544A"/>
    <w:rsid w:val="00CE5ADE"/>
    <w:rsid w:val="00CE6718"/>
    <w:rsid w:val="00CE6B7F"/>
    <w:rsid w:val="00CE6DE9"/>
    <w:rsid w:val="00CE6FAC"/>
    <w:rsid w:val="00CE722F"/>
    <w:rsid w:val="00CE775E"/>
    <w:rsid w:val="00CE7D27"/>
    <w:rsid w:val="00CF0051"/>
    <w:rsid w:val="00CF03E5"/>
    <w:rsid w:val="00CF0A0E"/>
    <w:rsid w:val="00CF0D84"/>
    <w:rsid w:val="00CF0DDE"/>
    <w:rsid w:val="00CF10C9"/>
    <w:rsid w:val="00CF114F"/>
    <w:rsid w:val="00CF1E08"/>
    <w:rsid w:val="00CF235E"/>
    <w:rsid w:val="00CF2B08"/>
    <w:rsid w:val="00CF2E19"/>
    <w:rsid w:val="00CF2F44"/>
    <w:rsid w:val="00CF3B9D"/>
    <w:rsid w:val="00CF3D0A"/>
    <w:rsid w:val="00CF412E"/>
    <w:rsid w:val="00CF4E18"/>
    <w:rsid w:val="00CF519E"/>
    <w:rsid w:val="00CF54AD"/>
    <w:rsid w:val="00CF5712"/>
    <w:rsid w:val="00CF57E6"/>
    <w:rsid w:val="00CF59A8"/>
    <w:rsid w:val="00CF5B33"/>
    <w:rsid w:val="00CF68AA"/>
    <w:rsid w:val="00CF6CA7"/>
    <w:rsid w:val="00CF772C"/>
    <w:rsid w:val="00CF7A32"/>
    <w:rsid w:val="00CF7F25"/>
    <w:rsid w:val="00D00949"/>
    <w:rsid w:val="00D01580"/>
    <w:rsid w:val="00D015C7"/>
    <w:rsid w:val="00D0171C"/>
    <w:rsid w:val="00D01842"/>
    <w:rsid w:val="00D018C4"/>
    <w:rsid w:val="00D028EB"/>
    <w:rsid w:val="00D02CEB"/>
    <w:rsid w:val="00D02E33"/>
    <w:rsid w:val="00D02FE5"/>
    <w:rsid w:val="00D041EB"/>
    <w:rsid w:val="00D04204"/>
    <w:rsid w:val="00D043A0"/>
    <w:rsid w:val="00D04C53"/>
    <w:rsid w:val="00D04E01"/>
    <w:rsid w:val="00D05435"/>
    <w:rsid w:val="00D063CB"/>
    <w:rsid w:val="00D0640C"/>
    <w:rsid w:val="00D06BCA"/>
    <w:rsid w:val="00D0741B"/>
    <w:rsid w:val="00D07769"/>
    <w:rsid w:val="00D077C3"/>
    <w:rsid w:val="00D07800"/>
    <w:rsid w:val="00D07F18"/>
    <w:rsid w:val="00D1049F"/>
    <w:rsid w:val="00D10654"/>
    <w:rsid w:val="00D120E1"/>
    <w:rsid w:val="00D12F7E"/>
    <w:rsid w:val="00D1386F"/>
    <w:rsid w:val="00D142E1"/>
    <w:rsid w:val="00D143D0"/>
    <w:rsid w:val="00D145F3"/>
    <w:rsid w:val="00D149B8"/>
    <w:rsid w:val="00D152EE"/>
    <w:rsid w:val="00D15932"/>
    <w:rsid w:val="00D1662C"/>
    <w:rsid w:val="00D16CAE"/>
    <w:rsid w:val="00D171BD"/>
    <w:rsid w:val="00D1782F"/>
    <w:rsid w:val="00D17DDF"/>
    <w:rsid w:val="00D20149"/>
    <w:rsid w:val="00D20459"/>
    <w:rsid w:val="00D20CA4"/>
    <w:rsid w:val="00D21658"/>
    <w:rsid w:val="00D21D6D"/>
    <w:rsid w:val="00D2288C"/>
    <w:rsid w:val="00D22ABB"/>
    <w:rsid w:val="00D22B6E"/>
    <w:rsid w:val="00D22CAD"/>
    <w:rsid w:val="00D230C4"/>
    <w:rsid w:val="00D231F3"/>
    <w:rsid w:val="00D23EFB"/>
    <w:rsid w:val="00D241E7"/>
    <w:rsid w:val="00D242AC"/>
    <w:rsid w:val="00D242DD"/>
    <w:rsid w:val="00D245A9"/>
    <w:rsid w:val="00D249EE"/>
    <w:rsid w:val="00D24D48"/>
    <w:rsid w:val="00D2523A"/>
    <w:rsid w:val="00D25E3F"/>
    <w:rsid w:val="00D26063"/>
    <w:rsid w:val="00D26097"/>
    <w:rsid w:val="00D26757"/>
    <w:rsid w:val="00D26DCE"/>
    <w:rsid w:val="00D271FD"/>
    <w:rsid w:val="00D27378"/>
    <w:rsid w:val="00D27633"/>
    <w:rsid w:val="00D279E0"/>
    <w:rsid w:val="00D27A85"/>
    <w:rsid w:val="00D27B06"/>
    <w:rsid w:val="00D27B08"/>
    <w:rsid w:val="00D30596"/>
    <w:rsid w:val="00D3065F"/>
    <w:rsid w:val="00D308FC"/>
    <w:rsid w:val="00D3130A"/>
    <w:rsid w:val="00D31DBE"/>
    <w:rsid w:val="00D31ED4"/>
    <w:rsid w:val="00D327E8"/>
    <w:rsid w:val="00D330DE"/>
    <w:rsid w:val="00D34442"/>
    <w:rsid w:val="00D3504F"/>
    <w:rsid w:val="00D35344"/>
    <w:rsid w:val="00D355D2"/>
    <w:rsid w:val="00D36018"/>
    <w:rsid w:val="00D365DA"/>
    <w:rsid w:val="00D368FF"/>
    <w:rsid w:val="00D36A0A"/>
    <w:rsid w:val="00D36B9C"/>
    <w:rsid w:val="00D378A8"/>
    <w:rsid w:val="00D378C1"/>
    <w:rsid w:val="00D379AB"/>
    <w:rsid w:val="00D37A1A"/>
    <w:rsid w:val="00D4029E"/>
    <w:rsid w:val="00D406A0"/>
    <w:rsid w:val="00D41AB9"/>
    <w:rsid w:val="00D41CA8"/>
    <w:rsid w:val="00D41F3B"/>
    <w:rsid w:val="00D42B62"/>
    <w:rsid w:val="00D42E03"/>
    <w:rsid w:val="00D43963"/>
    <w:rsid w:val="00D449B4"/>
    <w:rsid w:val="00D44C74"/>
    <w:rsid w:val="00D44EA7"/>
    <w:rsid w:val="00D44F7D"/>
    <w:rsid w:val="00D4515C"/>
    <w:rsid w:val="00D45280"/>
    <w:rsid w:val="00D4558C"/>
    <w:rsid w:val="00D4589C"/>
    <w:rsid w:val="00D45C4D"/>
    <w:rsid w:val="00D46603"/>
    <w:rsid w:val="00D46655"/>
    <w:rsid w:val="00D46AC5"/>
    <w:rsid w:val="00D46BC4"/>
    <w:rsid w:val="00D46D92"/>
    <w:rsid w:val="00D46ECD"/>
    <w:rsid w:val="00D47144"/>
    <w:rsid w:val="00D477ED"/>
    <w:rsid w:val="00D50EA5"/>
    <w:rsid w:val="00D516E0"/>
    <w:rsid w:val="00D51860"/>
    <w:rsid w:val="00D51CC0"/>
    <w:rsid w:val="00D51DDC"/>
    <w:rsid w:val="00D5236D"/>
    <w:rsid w:val="00D5237E"/>
    <w:rsid w:val="00D528E3"/>
    <w:rsid w:val="00D52DD0"/>
    <w:rsid w:val="00D5344C"/>
    <w:rsid w:val="00D54438"/>
    <w:rsid w:val="00D54B37"/>
    <w:rsid w:val="00D54E2F"/>
    <w:rsid w:val="00D550D9"/>
    <w:rsid w:val="00D555A1"/>
    <w:rsid w:val="00D55B9A"/>
    <w:rsid w:val="00D55C7E"/>
    <w:rsid w:val="00D55C8C"/>
    <w:rsid w:val="00D563E7"/>
    <w:rsid w:val="00D56426"/>
    <w:rsid w:val="00D565BC"/>
    <w:rsid w:val="00D56A8E"/>
    <w:rsid w:val="00D573F7"/>
    <w:rsid w:val="00D575E9"/>
    <w:rsid w:val="00D577D6"/>
    <w:rsid w:val="00D5790A"/>
    <w:rsid w:val="00D57C66"/>
    <w:rsid w:val="00D606C5"/>
    <w:rsid w:val="00D60910"/>
    <w:rsid w:val="00D60F1D"/>
    <w:rsid w:val="00D614B5"/>
    <w:rsid w:val="00D61512"/>
    <w:rsid w:val="00D616EB"/>
    <w:rsid w:val="00D6172B"/>
    <w:rsid w:val="00D6287F"/>
    <w:rsid w:val="00D628D7"/>
    <w:rsid w:val="00D63203"/>
    <w:rsid w:val="00D63620"/>
    <w:rsid w:val="00D64036"/>
    <w:rsid w:val="00D641F8"/>
    <w:rsid w:val="00D6484B"/>
    <w:rsid w:val="00D653D1"/>
    <w:rsid w:val="00D65C80"/>
    <w:rsid w:val="00D65FF6"/>
    <w:rsid w:val="00D66CD5"/>
    <w:rsid w:val="00D67333"/>
    <w:rsid w:val="00D677D0"/>
    <w:rsid w:val="00D70121"/>
    <w:rsid w:val="00D70272"/>
    <w:rsid w:val="00D703A6"/>
    <w:rsid w:val="00D70545"/>
    <w:rsid w:val="00D714F4"/>
    <w:rsid w:val="00D7153E"/>
    <w:rsid w:val="00D71BFA"/>
    <w:rsid w:val="00D71D7D"/>
    <w:rsid w:val="00D72478"/>
    <w:rsid w:val="00D724AE"/>
    <w:rsid w:val="00D7395C"/>
    <w:rsid w:val="00D73A57"/>
    <w:rsid w:val="00D73F5D"/>
    <w:rsid w:val="00D73FFB"/>
    <w:rsid w:val="00D7428C"/>
    <w:rsid w:val="00D748CE"/>
    <w:rsid w:val="00D752A7"/>
    <w:rsid w:val="00D7569A"/>
    <w:rsid w:val="00D756C0"/>
    <w:rsid w:val="00D75944"/>
    <w:rsid w:val="00D75CBA"/>
    <w:rsid w:val="00D763BF"/>
    <w:rsid w:val="00D77018"/>
    <w:rsid w:val="00D777FB"/>
    <w:rsid w:val="00D77981"/>
    <w:rsid w:val="00D77ADA"/>
    <w:rsid w:val="00D8025A"/>
    <w:rsid w:val="00D80456"/>
    <w:rsid w:val="00D80644"/>
    <w:rsid w:val="00D80A78"/>
    <w:rsid w:val="00D80B15"/>
    <w:rsid w:val="00D8129A"/>
    <w:rsid w:val="00D812A4"/>
    <w:rsid w:val="00D819CD"/>
    <w:rsid w:val="00D81CF9"/>
    <w:rsid w:val="00D81E43"/>
    <w:rsid w:val="00D825A4"/>
    <w:rsid w:val="00D8273A"/>
    <w:rsid w:val="00D82BA9"/>
    <w:rsid w:val="00D84641"/>
    <w:rsid w:val="00D8488C"/>
    <w:rsid w:val="00D84C22"/>
    <w:rsid w:val="00D84E39"/>
    <w:rsid w:val="00D84F58"/>
    <w:rsid w:val="00D8502A"/>
    <w:rsid w:val="00D8519B"/>
    <w:rsid w:val="00D854E2"/>
    <w:rsid w:val="00D85B31"/>
    <w:rsid w:val="00D860DB"/>
    <w:rsid w:val="00D86C76"/>
    <w:rsid w:val="00D86D8E"/>
    <w:rsid w:val="00D86FB1"/>
    <w:rsid w:val="00D870EE"/>
    <w:rsid w:val="00D87641"/>
    <w:rsid w:val="00D9027A"/>
    <w:rsid w:val="00D902A9"/>
    <w:rsid w:val="00D903DC"/>
    <w:rsid w:val="00D90432"/>
    <w:rsid w:val="00D9058E"/>
    <w:rsid w:val="00D9067F"/>
    <w:rsid w:val="00D9073B"/>
    <w:rsid w:val="00D908B1"/>
    <w:rsid w:val="00D90C54"/>
    <w:rsid w:val="00D90CC7"/>
    <w:rsid w:val="00D910D4"/>
    <w:rsid w:val="00D912AB"/>
    <w:rsid w:val="00D91473"/>
    <w:rsid w:val="00D9148A"/>
    <w:rsid w:val="00D91506"/>
    <w:rsid w:val="00D91C7B"/>
    <w:rsid w:val="00D91D10"/>
    <w:rsid w:val="00D9235B"/>
    <w:rsid w:val="00D9261B"/>
    <w:rsid w:val="00D92668"/>
    <w:rsid w:val="00D92AC0"/>
    <w:rsid w:val="00D92BCF"/>
    <w:rsid w:val="00D931D6"/>
    <w:rsid w:val="00D937B1"/>
    <w:rsid w:val="00D93FAE"/>
    <w:rsid w:val="00D93FB8"/>
    <w:rsid w:val="00D95253"/>
    <w:rsid w:val="00D95590"/>
    <w:rsid w:val="00D95973"/>
    <w:rsid w:val="00D962AA"/>
    <w:rsid w:val="00D9680F"/>
    <w:rsid w:val="00D96904"/>
    <w:rsid w:val="00D96ABE"/>
    <w:rsid w:val="00D96FFA"/>
    <w:rsid w:val="00D970A4"/>
    <w:rsid w:val="00D9721A"/>
    <w:rsid w:val="00D97753"/>
    <w:rsid w:val="00D97CCB"/>
    <w:rsid w:val="00D97DE1"/>
    <w:rsid w:val="00DA0270"/>
    <w:rsid w:val="00DA0406"/>
    <w:rsid w:val="00DA04CE"/>
    <w:rsid w:val="00DA13D5"/>
    <w:rsid w:val="00DA1DA2"/>
    <w:rsid w:val="00DA2011"/>
    <w:rsid w:val="00DA24B4"/>
    <w:rsid w:val="00DA2783"/>
    <w:rsid w:val="00DA294B"/>
    <w:rsid w:val="00DA2B0C"/>
    <w:rsid w:val="00DA2EA3"/>
    <w:rsid w:val="00DA2F54"/>
    <w:rsid w:val="00DA3396"/>
    <w:rsid w:val="00DA38F0"/>
    <w:rsid w:val="00DA40C8"/>
    <w:rsid w:val="00DA428A"/>
    <w:rsid w:val="00DA4676"/>
    <w:rsid w:val="00DA6A7E"/>
    <w:rsid w:val="00DA6CA5"/>
    <w:rsid w:val="00DA6DD4"/>
    <w:rsid w:val="00DA6F7B"/>
    <w:rsid w:val="00DA7217"/>
    <w:rsid w:val="00DA75DD"/>
    <w:rsid w:val="00DA7DEB"/>
    <w:rsid w:val="00DB01EA"/>
    <w:rsid w:val="00DB054B"/>
    <w:rsid w:val="00DB120A"/>
    <w:rsid w:val="00DB1493"/>
    <w:rsid w:val="00DB1C43"/>
    <w:rsid w:val="00DB1D2E"/>
    <w:rsid w:val="00DB32B9"/>
    <w:rsid w:val="00DB32FF"/>
    <w:rsid w:val="00DB36EF"/>
    <w:rsid w:val="00DB380B"/>
    <w:rsid w:val="00DB431F"/>
    <w:rsid w:val="00DB4CD9"/>
    <w:rsid w:val="00DB51F1"/>
    <w:rsid w:val="00DB5518"/>
    <w:rsid w:val="00DB561D"/>
    <w:rsid w:val="00DB6E96"/>
    <w:rsid w:val="00DB6FFA"/>
    <w:rsid w:val="00DB71F1"/>
    <w:rsid w:val="00DB72DC"/>
    <w:rsid w:val="00DB79A1"/>
    <w:rsid w:val="00DB7D2C"/>
    <w:rsid w:val="00DC0433"/>
    <w:rsid w:val="00DC097D"/>
    <w:rsid w:val="00DC0B51"/>
    <w:rsid w:val="00DC0B8D"/>
    <w:rsid w:val="00DC1EE4"/>
    <w:rsid w:val="00DC20D7"/>
    <w:rsid w:val="00DC2393"/>
    <w:rsid w:val="00DC2ABF"/>
    <w:rsid w:val="00DC2C91"/>
    <w:rsid w:val="00DC2EA8"/>
    <w:rsid w:val="00DC307A"/>
    <w:rsid w:val="00DC3503"/>
    <w:rsid w:val="00DC352A"/>
    <w:rsid w:val="00DC3B9C"/>
    <w:rsid w:val="00DC3F43"/>
    <w:rsid w:val="00DC4363"/>
    <w:rsid w:val="00DC4641"/>
    <w:rsid w:val="00DC497D"/>
    <w:rsid w:val="00DC52D1"/>
    <w:rsid w:val="00DC661B"/>
    <w:rsid w:val="00DC6886"/>
    <w:rsid w:val="00DC6CBE"/>
    <w:rsid w:val="00DD0253"/>
    <w:rsid w:val="00DD03B5"/>
    <w:rsid w:val="00DD06F3"/>
    <w:rsid w:val="00DD0779"/>
    <w:rsid w:val="00DD07D2"/>
    <w:rsid w:val="00DD18EB"/>
    <w:rsid w:val="00DD1DB3"/>
    <w:rsid w:val="00DD1FE3"/>
    <w:rsid w:val="00DD2CCC"/>
    <w:rsid w:val="00DD3328"/>
    <w:rsid w:val="00DD3338"/>
    <w:rsid w:val="00DD3482"/>
    <w:rsid w:val="00DD34C7"/>
    <w:rsid w:val="00DD3AA4"/>
    <w:rsid w:val="00DD3B8F"/>
    <w:rsid w:val="00DD3C6A"/>
    <w:rsid w:val="00DD4192"/>
    <w:rsid w:val="00DD4486"/>
    <w:rsid w:val="00DD4528"/>
    <w:rsid w:val="00DD4B22"/>
    <w:rsid w:val="00DD4EA6"/>
    <w:rsid w:val="00DD5215"/>
    <w:rsid w:val="00DD5513"/>
    <w:rsid w:val="00DD55C5"/>
    <w:rsid w:val="00DD5ACF"/>
    <w:rsid w:val="00DD65C1"/>
    <w:rsid w:val="00DD718E"/>
    <w:rsid w:val="00DD7581"/>
    <w:rsid w:val="00DD75C3"/>
    <w:rsid w:val="00DD76D6"/>
    <w:rsid w:val="00DD7ACB"/>
    <w:rsid w:val="00DD7B54"/>
    <w:rsid w:val="00DD7B73"/>
    <w:rsid w:val="00DD7FDB"/>
    <w:rsid w:val="00DE03AD"/>
    <w:rsid w:val="00DE0E1F"/>
    <w:rsid w:val="00DE0EDA"/>
    <w:rsid w:val="00DE100A"/>
    <w:rsid w:val="00DE12DA"/>
    <w:rsid w:val="00DE14A5"/>
    <w:rsid w:val="00DE14B5"/>
    <w:rsid w:val="00DE1A6D"/>
    <w:rsid w:val="00DE1BF1"/>
    <w:rsid w:val="00DE27DE"/>
    <w:rsid w:val="00DE2CAD"/>
    <w:rsid w:val="00DE3297"/>
    <w:rsid w:val="00DE42FA"/>
    <w:rsid w:val="00DE4A2D"/>
    <w:rsid w:val="00DE51C0"/>
    <w:rsid w:val="00DE5312"/>
    <w:rsid w:val="00DE5733"/>
    <w:rsid w:val="00DE59D6"/>
    <w:rsid w:val="00DE5AB7"/>
    <w:rsid w:val="00DE5B1E"/>
    <w:rsid w:val="00DE612B"/>
    <w:rsid w:val="00DE639C"/>
    <w:rsid w:val="00DE67E4"/>
    <w:rsid w:val="00DE6954"/>
    <w:rsid w:val="00DE6C59"/>
    <w:rsid w:val="00DE7C99"/>
    <w:rsid w:val="00DF0B9A"/>
    <w:rsid w:val="00DF1766"/>
    <w:rsid w:val="00DF1F6C"/>
    <w:rsid w:val="00DF23F7"/>
    <w:rsid w:val="00DF2827"/>
    <w:rsid w:val="00DF2969"/>
    <w:rsid w:val="00DF2B21"/>
    <w:rsid w:val="00DF312D"/>
    <w:rsid w:val="00DF3B7C"/>
    <w:rsid w:val="00DF3F0F"/>
    <w:rsid w:val="00DF3F9A"/>
    <w:rsid w:val="00DF458D"/>
    <w:rsid w:val="00DF459F"/>
    <w:rsid w:val="00DF5002"/>
    <w:rsid w:val="00DF549C"/>
    <w:rsid w:val="00DF5744"/>
    <w:rsid w:val="00DF62AB"/>
    <w:rsid w:val="00DF631D"/>
    <w:rsid w:val="00DF7693"/>
    <w:rsid w:val="00DF796A"/>
    <w:rsid w:val="00DF7986"/>
    <w:rsid w:val="00DF7B1C"/>
    <w:rsid w:val="00E005F8"/>
    <w:rsid w:val="00E00CB3"/>
    <w:rsid w:val="00E01D80"/>
    <w:rsid w:val="00E0233D"/>
    <w:rsid w:val="00E023C0"/>
    <w:rsid w:val="00E023E6"/>
    <w:rsid w:val="00E033B7"/>
    <w:rsid w:val="00E03A8F"/>
    <w:rsid w:val="00E0454B"/>
    <w:rsid w:val="00E058FC"/>
    <w:rsid w:val="00E059CC"/>
    <w:rsid w:val="00E05E23"/>
    <w:rsid w:val="00E06225"/>
    <w:rsid w:val="00E06292"/>
    <w:rsid w:val="00E06744"/>
    <w:rsid w:val="00E06BB3"/>
    <w:rsid w:val="00E07818"/>
    <w:rsid w:val="00E079AA"/>
    <w:rsid w:val="00E07ACB"/>
    <w:rsid w:val="00E07CD0"/>
    <w:rsid w:val="00E1037B"/>
    <w:rsid w:val="00E105A2"/>
    <w:rsid w:val="00E108A6"/>
    <w:rsid w:val="00E10F06"/>
    <w:rsid w:val="00E112DA"/>
    <w:rsid w:val="00E11C7E"/>
    <w:rsid w:val="00E11E01"/>
    <w:rsid w:val="00E11F18"/>
    <w:rsid w:val="00E12CE6"/>
    <w:rsid w:val="00E12DCA"/>
    <w:rsid w:val="00E1310B"/>
    <w:rsid w:val="00E136B9"/>
    <w:rsid w:val="00E13750"/>
    <w:rsid w:val="00E14380"/>
    <w:rsid w:val="00E144CF"/>
    <w:rsid w:val="00E1466B"/>
    <w:rsid w:val="00E14CED"/>
    <w:rsid w:val="00E155B4"/>
    <w:rsid w:val="00E156DE"/>
    <w:rsid w:val="00E16157"/>
    <w:rsid w:val="00E161BF"/>
    <w:rsid w:val="00E168AC"/>
    <w:rsid w:val="00E16A56"/>
    <w:rsid w:val="00E16BAD"/>
    <w:rsid w:val="00E173FA"/>
    <w:rsid w:val="00E17A65"/>
    <w:rsid w:val="00E20219"/>
    <w:rsid w:val="00E20248"/>
    <w:rsid w:val="00E204A4"/>
    <w:rsid w:val="00E206C7"/>
    <w:rsid w:val="00E209F3"/>
    <w:rsid w:val="00E20F8E"/>
    <w:rsid w:val="00E21270"/>
    <w:rsid w:val="00E21492"/>
    <w:rsid w:val="00E214F7"/>
    <w:rsid w:val="00E216A4"/>
    <w:rsid w:val="00E21DFA"/>
    <w:rsid w:val="00E2265E"/>
    <w:rsid w:val="00E22E06"/>
    <w:rsid w:val="00E23199"/>
    <w:rsid w:val="00E233E5"/>
    <w:rsid w:val="00E23CD7"/>
    <w:rsid w:val="00E24019"/>
    <w:rsid w:val="00E2558C"/>
    <w:rsid w:val="00E25751"/>
    <w:rsid w:val="00E257E5"/>
    <w:rsid w:val="00E26349"/>
    <w:rsid w:val="00E265AF"/>
    <w:rsid w:val="00E266F0"/>
    <w:rsid w:val="00E26BA7"/>
    <w:rsid w:val="00E26EB3"/>
    <w:rsid w:val="00E26FD9"/>
    <w:rsid w:val="00E30151"/>
    <w:rsid w:val="00E3038C"/>
    <w:rsid w:val="00E30A8E"/>
    <w:rsid w:val="00E30C9F"/>
    <w:rsid w:val="00E30E58"/>
    <w:rsid w:val="00E31172"/>
    <w:rsid w:val="00E3165B"/>
    <w:rsid w:val="00E31A50"/>
    <w:rsid w:val="00E31CDA"/>
    <w:rsid w:val="00E31CF0"/>
    <w:rsid w:val="00E3231A"/>
    <w:rsid w:val="00E3272F"/>
    <w:rsid w:val="00E32B48"/>
    <w:rsid w:val="00E32E96"/>
    <w:rsid w:val="00E330F3"/>
    <w:rsid w:val="00E33274"/>
    <w:rsid w:val="00E338B5"/>
    <w:rsid w:val="00E33AC7"/>
    <w:rsid w:val="00E35354"/>
    <w:rsid w:val="00E35B2E"/>
    <w:rsid w:val="00E35F1A"/>
    <w:rsid w:val="00E36565"/>
    <w:rsid w:val="00E36B10"/>
    <w:rsid w:val="00E36BC8"/>
    <w:rsid w:val="00E3701A"/>
    <w:rsid w:val="00E3704F"/>
    <w:rsid w:val="00E3710B"/>
    <w:rsid w:val="00E372D5"/>
    <w:rsid w:val="00E37BC4"/>
    <w:rsid w:val="00E37E3A"/>
    <w:rsid w:val="00E40A9C"/>
    <w:rsid w:val="00E40B5F"/>
    <w:rsid w:val="00E40EE9"/>
    <w:rsid w:val="00E40FEF"/>
    <w:rsid w:val="00E4128D"/>
    <w:rsid w:val="00E41814"/>
    <w:rsid w:val="00E41CC4"/>
    <w:rsid w:val="00E421E0"/>
    <w:rsid w:val="00E429B9"/>
    <w:rsid w:val="00E42FBA"/>
    <w:rsid w:val="00E4394C"/>
    <w:rsid w:val="00E43CE3"/>
    <w:rsid w:val="00E443CD"/>
    <w:rsid w:val="00E44CFF"/>
    <w:rsid w:val="00E45561"/>
    <w:rsid w:val="00E45659"/>
    <w:rsid w:val="00E45716"/>
    <w:rsid w:val="00E45BA3"/>
    <w:rsid w:val="00E45F41"/>
    <w:rsid w:val="00E4662B"/>
    <w:rsid w:val="00E467E9"/>
    <w:rsid w:val="00E47EF7"/>
    <w:rsid w:val="00E5033A"/>
    <w:rsid w:val="00E50648"/>
    <w:rsid w:val="00E5113C"/>
    <w:rsid w:val="00E511C8"/>
    <w:rsid w:val="00E516C3"/>
    <w:rsid w:val="00E51EF1"/>
    <w:rsid w:val="00E51F56"/>
    <w:rsid w:val="00E52B15"/>
    <w:rsid w:val="00E534B3"/>
    <w:rsid w:val="00E53A6F"/>
    <w:rsid w:val="00E53BB0"/>
    <w:rsid w:val="00E54121"/>
    <w:rsid w:val="00E54915"/>
    <w:rsid w:val="00E54DB2"/>
    <w:rsid w:val="00E5524D"/>
    <w:rsid w:val="00E553A6"/>
    <w:rsid w:val="00E5550F"/>
    <w:rsid w:val="00E55517"/>
    <w:rsid w:val="00E558B7"/>
    <w:rsid w:val="00E55A18"/>
    <w:rsid w:val="00E55A57"/>
    <w:rsid w:val="00E55C78"/>
    <w:rsid w:val="00E56436"/>
    <w:rsid w:val="00E5667B"/>
    <w:rsid w:val="00E56E86"/>
    <w:rsid w:val="00E57016"/>
    <w:rsid w:val="00E57405"/>
    <w:rsid w:val="00E579B8"/>
    <w:rsid w:val="00E603F1"/>
    <w:rsid w:val="00E60418"/>
    <w:rsid w:val="00E60677"/>
    <w:rsid w:val="00E6068A"/>
    <w:rsid w:val="00E61114"/>
    <w:rsid w:val="00E61237"/>
    <w:rsid w:val="00E62605"/>
    <w:rsid w:val="00E62B88"/>
    <w:rsid w:val="00E63143"/>
    <w:rsid w:val="00E63523"/>
    <w:rsid w:val="00E636DE"/>
    <w:rsid w:val="00E63DB6"/>
    <w:rsid w:val="00E63E95"/>
    <w:rsid w:val="00E63F63"/>
    <w:rsid w:val="00E6450A"/>
    <w:rsid w:val="00E646F6"/>
    <w:rsid w:val="00E64C61"/>
    <w:rsid w:val="00E64CF8"/>
    <w:rsid w:val="00E6532B"/>
    <w:rsid w:val="00E65725"/>
    <w:rsid w:val="00E65AF0"/>
    <w:rsid w:val="00E65F69"/>
    <w:rsid w:val="00E66B6A"/>
    <w:rsid w:val="00E67460"/>
    <w:rsid w:val="00E67624"/>
    <w:rsid w:val="00E70167"/>
    <w:rsid w:val="00E70359"/>
    <w:rsid w:val="00E714FF"/>
    <w:rsid w:val="00E71C7D"/>
    <w:rsid w:val="00E72D95"/>
    <w:rsid w:val="00E72D98"/>
    <w:rsid w:val="00E7376C"/>
    <w:rsid w:val="00E74B9A"/>
    <w:rsid w:val="00E74BC6"/>
    <w:rsid w:val="00E74E8A"/>
    <w:rsid w:val="00E74F3F"/>
    <w:rsid w:val="00E74FF6"/>
    <w:rsid w:val="00E750F1"/>
    <w:rsid w:val="00E753CE"/>
    <w:rsid w:val="00E755B3"/>
    <w:rsid w:val="00E7576F"/>
    <w:rsid w:val="00E757A4"/>
    <w:rsid w:val="00E75B5F"/>
    <w:rsid w:val="00E76115"/>
    <w:rsid w:val="00E7626E"/>
    <w:rsid w:val="00E769E9"/>
    <w:rsid w:val="00E77519"/>
    <w:rsid w:val="00E77DA7"/>
    <w:rsid w:val="00E8053E"/>
    <w:rsid w:val="00E806EB"/>
    <w:rsid w:val="00E8115D"/>
    <w:rsid w:val="00E81424"/>
    <w:rsid w:val="00E8147A"/>
    <w:rsid w:val="00E81745"/>
    <w:rsid w:val="00E81E88"/>
    <w:rsid w:val="00E82521"/>
    <w:rsid w:val="00E82623"/>
    <w:rsid w:val="00E82B08"/>
    <w:rsid w:val="00E82BB7"/>
    <w:rsid w:val="00E841B0"/>
    <w:rsid w:val="00E84932"/>
    <w:rsid w:val="00E84B1A"/>
    <w:rsid w:val="00E84BDB"/>
    <w:rsid w:val="00E84F57"/>
    <w:rsid w:val="00E851DC"/>
    <w:rsid w:val="00E85452"/>
    <w:rsid w:val="00E85598"/>
    <w:rsid w:val="00E85A6A"/>
    <w:rsid w:val="00E863B6"/>
    <w:rsid w:val="00E864DD"/>
    <w:rsid w:val="00E86D95"/>
    <w:rsid w:val="00E87A27"/>
    <w:rsid w:val="00E87EB2"/>
    <w:rsid w:val="00E87F50"/>
    <w:rsid w:val="00E90405"/>
    <w:rsid w:val="00E90677"/>
    <w:rsid w:val="00E90B79"/>
    <w:rsid w:val="00E90BB2"/>
    <w:rsid w:val="00E910A5"/>
    <w:rsid w:val="00E910D0"/>
    <w:rsid w:val="00E914B5"/>
    <w:rsid w:val="00E91B6E"/>
    <w:rsid w:val="00E91E53"/>
    <w:rsid w:val="00E91E6E"/>
    <w:rsid w:val="00E92415"/>
    <w:rsid w:val="00E92886"/>
    <w:rsid w:val="00E92D2F"/>
    <w:rsid w:val="00E9347A"/>
    <w:rsid w:val="00E93556"/>
    <w:rsid w:val="00E93861"/>
    <w:rsid w:val="00E93A42"/>
    <w:rsid w:val="00E94048"/>
    <w:rsid w:val="00E94504"/>
    <w:rsid w:val="00E949BD"/>
    <w:rsid w:val="00E94A6A"/>
    <w:rsid w:val="00E94F24"/>
    <w:rsid w:val="00E94FB5"/>
    <w:rsid w:val="00E959F9"/>
    <w:rsid w:val="00E95A97"/>
    <w:rsid w:val="00E95AC7"/>
    <w:rsid w:val="00E95DC7"/>
    <w:rsid w:val="00E962A3"/>
    <w:rsid w:val="00E96415"/>
    <w:rsid w:val="00E9685C"/>
    <w:rsid w:val="00E96C57"/>
    <w:rsid w:val="00E96EF4"/>
    <w:rsid w:val="00E97153"/>
    <w:rsid w:val="00E97642"/>
    <w:rsid w:val="00E97AD2"/>
    <w:rsid w:val="00E97B6D"/>
    <w:rsid w:val="00EA012D"/>
    <w:rsid w:val="00EA0726"/>
    <w:rsid w:val="00EA0F0A"/>
    <w:rsid w:val="00EA1AF7"/>
    <w:rsid w:val="00EA1C44"/>
    <w:rsid w:val="00EA28D6"/>
    <w:rsid w:val="00EA29CD"/>
    <w:rsid w:val="00EA2CA6"/>
    <w:rsid w:val="00EA2EB4"/>
    <w:rsid w:val="00EA3C51"/>
    <w:rsid w:val="00EA3E7F"/>
    <w:rsid w:val="00EA4545"/>
    <w:rsid w:val="00EA4951"/>
    <w:rsid w:val="00EA4A6E"/>
    <w:rsid w:val="00EA56E0"/>
    <w:rsid w:val="00EA5863"/>
    <w:rsid w:val="00EA596B"/>
    <w:rsid w:val="00EA5E4B"/>
    <w:rsid w:val="00EA6C53"/>
    <w:rsid w:val="00EA6EED"/>
    <w:rsid w:val="00EA755B"/>
    <w:rsid w:val="00EA7C3B"/>
    <w:rsid w:val="00EA7F99"/>
    <w:rsid w:val="00EB0848"/>
    <w:rsid w:val="00EB0CBC"/>
    <w:rsid w:val="00EB0E12"/>
    <w:rsid w:val="00EB1DAA"/>
    <w:rsid w:val="00EB2544"/>
    <w:rsid w:val="00EB2CF1"/>
    <w:rsid w:val="00EB32D6"/>
    <w:rsid w:val="00EB32EB"/>
    <w:rsid w:val="00EB352F"/>
    <w:rsid w:val="00EB3978"/>
    <w:rsid w:val="00EB3F08"/>
    <w:rsid w:val="00EB529D"/>
    <w:rsid w:val="00EB5540"/>
    <w:rsid w:val="00EB55D3"/>
    <w:rsid w:val="00EB58A9"/>
    <w:rsid w:val="00EB5932"/>
    <w:rsid w:val="00EB6969"/>
    <w:rsid w:val="00EB6F1B"/>
    <w:rsid w:val="00EB709E"/>
    <w:rsid w:val="00EB7C5E"/>
    <w:rsid w:val="00EC01C2"/>
    <w:rsid w:val="00EC02DF"/>
    <w:rsid w:val="00EC10EF"/>
    <w:rsid w:val="00EC12C1"/>
    <w:rsid w:val="00EC1620"/>
    <w:rsid w:val="00EC1C39"/>
    <w:rsid w:val="00EC1C9C"/>
    <w:rsid w:val="00EC205C"/>
    <w:rsid w:val="00EC291B"/>
    <w:rsid w:val="00EC2B69"/>
    <w:rsid w:val="00EC2D0D"/>
    <w:rsid w:val="00EC2D4F"/>
    <w:rsid w:val="00EC3506"/>
    <w:rsid w:val="00EC40B0"/>
    <w:rsid w:val="00EC4410"/>
    <w:rsid w:val="00EC4569"/>
    <w:rsid w:val="00EC4A58"/>
    <w:rsid w:val="00EC522B"/>
    <w:rsid w:val="00EC55E1"/>
    <w:rsid w:val="00EC6418"/>
    <w:rsid w:val="00EC65C4"/>
    <w:rsid w:val="00EC6E7D"/>
    <w:rsid w:val="00EC71B6"/>
    <w:rsid w:val="00EC7525"/>
    <w:rsid w:val="00EC7C7F"/>
    <w:rsid w:val="00EC7D72"/>
    <w:rsid w:val="00EC7F6A"/>
    <w:rsid w:val="00EC7F97"/>
    <w:rsid w:val="00ED0C89"/>
    <w:rsid w:val="00ED0CC1"/>
    <w:rsid w:val="00ED0CD2"/>
    <w:rsid w:val="00ED0CEB"/>
    <w:rsid w:val="00ED0D33"/>
    <w:rsid w:val="00ED1493"/>
    <w:rsid w:val="00ED18B3"/>
    <w:rsid w:val="00ED19D8"/>
    <w:rsid w:val="00ED26AE"/>
    <w:rsid w:val="00ED275B"/>
    <w:rsid w:val="00ED2816"/>
    <w:rsid w:val="00ED2C4D"/>
    <w:rsid w:val="00ED40D1"/>
    <w:rsid w:val="00ED4517"/>
    <w:rsid w:val="00ED4E2B"/>
    <w:rsid w:val="00ED4FBF"/>
    <w:rsid w:val="00ED503D"/>
    <w:rsid w:val="00ED52A8"/>
    <w:rsid w:val="00ED5324"/>
    <w:rsid w:val="00ED532E"/>
    <w:rsid w:val="00ED5A86"/>
    <w:rsid w:val="00ED5ADB"/>
    <w:rsid w:val="00ED5EA7"/>
    <w:rsid w:val="00ED63AF"/>
    <w:rsid w:val="00ED66F2"/>
    <w:rsid w:val="00ED67A1"/>
    <w:rsid w:val="00ED6F8A"/>
    <w:rsid w:val="00ED7E63"/>
    <w:rsid w:val="00EE0133"/>
    <w:rsid w:val="00EE089E"/>
    <w:rsid w:val="00EE0973"/>
    <w:rsid w:val="00EE09CA"/>
    <w:rsid w:val="00EE136A"/>
    <w:rsid w:val="00EE15AA"/>
    <w:rsid w:val="00EE19FE"/>
    <w:rsid w:val="00EE2859"/>
    <w:rsid w:val="00EE2AEF"/>
    <w:rsid w:val="00EE3AC9"/>
    <w:rsid w:val="00EE3B36"/>
    <w:rsid w:val="00EE3CDD"/>
    <w:rsid w:val="00EE3D92"/>
    <w:rsid w:val="00EE3E4F"/>
    <w:rsid w:val="00EE3E67"/>
    <w:rsid w:val="00EE4A28"/>
    <w:rsid w:val="00EE4AE7"/>
    <w:rsid w:val="00EE6235"/>
    <w:rsid w:val="00EE65E4"/>
    <w:rsid w:val="00EE6685"/>
    <w:rsid w:val="00EE7129"/>
    <w:rsid w:val="00EE79F6"/>
    <w:rsid w:val="00EF10D1"/>
    <w:rsid w:val="00EF1239"/>
    <w:rsid w:val="00EF12D4"/>
    <w:rsid w:val="00EF1313"/>
    <w:rsid w:val="00EF139C"/>
    <w:rsid w:val="00EF1C2F"/>
    <w:rsid w:val="00EF2214"/>
    <w:rsid w:val="00EF290A"/>
    <w:rsid w:val="00EF2C71"/>
    <w:rsid w:val="00EF306E"/>
    <w:rsid w:val="00EF3879"/>
    <w:rsid w:val="00EF3E39"/>
    <w:rsid w:val="00EF3FCC"/>
    <w:rsid w:val="00EF4055"/>
    <w:rsid w:val="00EF4209"/>
    <w:rsid w:val="00EF4EF9"/>
    <w:rsid w:val="00EF544A"/>
    <w:rsid w:val="00EF5AD0"/>
    <w:rsid w:val="00EF5FE4"/>
    <w:rsid w:val="00EF653A"/>
    <w:rsid w:val="00EF6731"/>
    <w:rsid w:val="00EF6881"/>
    <w:rsid w:val="00EF6A51"/>
    <w:rsid w:val="00EF71B9"/>
    <w:rsid w:val="00EF789C"/>
    <w:rsid w:val="00EF7C65"/>
    <w:rsid w:val="00EF7D17"/>
    <w:rsid w:val="00EF7F0D"/>
    <w:rsid w:val="00F00F42"/>
    <w:rsid w:val="00F01542"/>
    <w:rsid w:val="00F020EA"/>
    <w:rsid w:val="00F02868"/>
    <w:rsid w:val="00F033E5"/>
    <w:rsid w:val="00F036A6"/>
    <w:rsid w:val="00F0382C"/>
    <w:rsid w:val="00F03B02"/>
    <w:rsid w:val="00F03DFF"/>
    <w:rsid w:val="00F0409D"/>
    <w:rsid w:val="00F042F0"/>
    <w:rsid w:val="00F0438A"/>
    <w:rsid w:val="00F05293"/>
    <w:rsid w:val="00F0530A"/>
    <w:rsid w:val="00F056BD"/>
    <w:rsid w:val="00F058C8"/>
    <w:rsid w:val="00F059EC"/>
    <w:rsid w:val="00F05D78"/>
    <w:rsid w:val="00F06370"/>
    <w:rsid w:val="00F068A2"/>
    <w:rsid w:val="00F06931"/>
    <w:rsid w:val="00F06CB8"/>
    <w:rsid w:val="00F0749D"/>
    <w:rsid w:val="00F07EA9"/>
    <w:rsid w:val="00F10549"/>
    <w:rsid w:val="00F111E0"/>
    <w:rsid w:val="00F12029"/>
    <w:rsid w:val="00F12576"/>
    <w:rsid w:val="00F12BCC"/>
    <w:rsid w:val="00F13021"/>
    <w:rsid w:val="00F1316A"/>
    <w:rsid w:val="00F13238"/>
    <w:rsid w:val="00F139EE"/>
    <w:rsid w:val="00F13D2C"/>
    <w:rsid w:val="00F13F1A"/>
    <w:rsid w:val="00F1435C"/>
    <w:rsid w:val="00F1445C"/>
    <w:rsid w:val="00F1456F"/>
    <w:rsid w:val="00F14650"/>
    <w:rsid w:val="00F14657"/>
    <w:rsid w:val="00F1495A"/>
    <w:rsid w:val="00F14D8A"/>
    <w:rsid w:val="00F150CD"/>
    <w:rsid w:val="00F15214"/>
    <w:rsid w:val="00F153AF"/>
    <w:rsid w:val="00F16021"/>
    <w:rsid w:val="00F16580"/>
    <w:rsid w:val="00F16752"/>
    <w:rsid w:val="00F1692C"/>
    <w:rsid w:val="00F175E9"/>
    <w:rsid w:val="00F17691"/>
    <w:rsid w:val="00F1775A"/>
    <w:rsid w:val="00F17FD7"/>
    <w:rsid w:val="00F20810"/>
    <w:rsid w:val="00F20B87"/>
    <w:rsid w:val="00F20E15"/>
    <w:rsid w:val="00F210B2"/>
    <w:rsid w:val="00F21177"/>
    <w:rsid w:val="00F2176B"/>
    <w:rsid w:val="00F22FA5"/>
    <w:rsid w:val="00F2365A"/>
    <w:rsid w:val="00F236A8"/>
    <w:rsid w:val="00F239E2"/>
    <w:rsid w:val="00F23B8F"/>
    <w:rsid w:val="00F23BE2"/>
    <w:rsid w:val="00F2477E"/>
    <w:rsid w:val="00F247D3"/>
    <w:rsid w:val="00F248CD"/>
    <w:rsid w:val="00F249C1"/>
    <w:rsid w:val="00F25093"/>
    <w:rsid w:val="00F252F8"/>
    <w:rsid w:val="00F2538E"/>
    <w:rsid w:val="00F2634B"/>
    <w:rsid w:val="00F26F05"/>
    <w:rsid w:val="00F27321"/>
    <w:rsid w:val="00F2766F"/>
    <w:rsid w:val="00F27B93"/>
    <w:rsid w:val="00F27C08"/>
    <w:rsid w:val="00F27C13"/>
    <w:rsid w:val="00F27CC0"/>
    <w:rsid w:val="00F303F7"/>
    <w:rsid w:val="00F30806"/>
    <w:rsid w:val="00F308E7"/>
    <w:rsid w:val="00F3112F"/>
    <w:rsid w:val="00F3135A"/>
    <w:rsid w:val="00F3149B"/>
    <w:rsid w:val="00F31993"/>
    <w:rsid w:val="00F31C66"/>
    <w:rsid w:val="00F32AC6"/>
    <w:rsid w:val="00F32C6F"/>
    <w:rsid w:val="00F33E3E"/>
    <w:rsid w:val="00F347ED"/>
    <w:rsid w:val="00F3488D"/>
    <w:rsid w:val="00F34E67"/>
    <w:rsid w:val="00F351FF"/>
    <w:rsid w:val="00F352E5"/>
    <w:rsid w:val="00F35B82"/>
    <w:rsid w:val="00F35FD5"/>
    <w:rsid w:val="00F363C7"/>
    <w:rsid w:val="00F364C7"/>
    <w:rsid w:val="00F36BD7"/>
    <w:rsid w:val="00F37773"/>
    <w:rsid w:val="00F3792B"/>
    <w:rsid w:val="00F379C5"/>
    <w:rsid w:val="00F4089D"/>
    <w:rsid w:val="00F40CD0"/>
    <w:rsid w:val="00F415E0"/>
    <w:rsid w:val="00F41742"/>
    <w:rsid w:val="00F41C28"/>
    <w:rsid w:val="00F41F62"/>
    <w:rsid w:val="00F42033"/>
    <w:rsid w:val="00F4227F"/>
    <w:rsid w:val="00F423C1"/>
    <w:rsid w:val="00F424E0"/>
    <w:rsid w:val="00F425D1"/>
    <w:rsid w:val="00F426B7"/>
    <w:rsid w:val="00F42789"/>
    <w:rsid w:val="00F43107"/>
    <w:rsid w:val="00F43265"/>
    <w:rsid w:val="00F43603"/>
    <w:rsid w:val="00F43638"/>
    <w:rsid w:val="00F43B5D"/>
    <w:rsid w:val="00F44226"/>
    <w:rsid w:val="00F44400"/>
    <w:rsid w:val="00F44E47"/>
    <w:rsid w:val="00F454E7"/>
    <w:rsid w:val="00F45724"/>
    <w:rsid w:val="00F45DDA"/>
    <w:rsid w:val="00F45F61"/>
    <w:rsid w:val="00F463AE"/>
    <w:rsid w:val="00F4688B"/>
    <w:rsid w:val="00F46FA1"/>
    <w:rsid w:val="00F47B1F"/>
    <w:rsid w:val="00F47B70"/>
    <w:rsid w:val="00F50BAA"/>
    <w:rsid w:val="00F51240"/>
    <w:rsid w:val="00F51527"/>
    <w:rsid w:val="00F51714"/>
    <w:rsid w:val="00F5230A"/>
    <w:rsid w:val="00F52AF0"/>
    <w:rsid w:val="00F52E17"/>
    <w:rsid w:val="00F52FBF"/>
    <w:rsid w:val="00F53517"/>
    <w:rsid w:val="00F536E9"/>
    <w:rsid w:val="00F537FE"/>
    <w:rsid w:val="00F53B2E"/>
    <w:rsid w:val="00F53D98"/>
    <w:rsid w:val="00F53EE0"/>
    <w:rsid w:val="00F54166"/>
    <w:rsid w:val="00F541B8"/>
    <w:rsid w:val="00F54EC8"/>
    <w:rsid w:val="00F55C21"/>
    <w:rsid w:val="00F568F7"/>
    <w:rsid w:val="00F56C30"/>
    <w:rsid w:val="00F5717C"/>
    <w:rsid w:val="00F6018C"/>
    <w:rsid w:val="00F6059A"/>
    <w:rsid w:val="00F609E3"/>
    <w:rsid w:val="00F60B3C"/>
    <w:rsid w:val="00F61AA8"/>
    <w:rsid w:val="00F61B28"/>
    <w:rsid w:val="00F61CB2"/>
    <w:rsid w:val="00F61FBB"/>
    <w:rsid w:val="00F62358"/>
    <w:rsid w:val="00F6265C"/>
    <w:rsid w:val="00F62AD8"/>
    <w:rsid w:val="00F63135"/>
    <w:rsid w:val="00F6369C"/>
    <w:rsid w:val="00F63B46"/>
    <w:rsid w:val="00F6468A"/>
    <w:rsid w:val="00F648C2"/>
    <w:rsid w:val="00F64BD9"/>
    <w:rsid w:val="00F64DA4"/>
    <w:rsid w:val="00F6551F"/>
    <w:rsid w:val="00F65BC4"/>
    <w:rsid w:val="00F65C31"/>
    <w:rsid w:val="00F6636E"/>
    <w:rsid w:val="00F668D9"/>
    <w:rsid w:val="00F66F92"/>
    <w:rsid w:val="00F6728A"/>
    <w:rsid w:val="00F67AA6"/>
    <w:rsid w:val="00F67D9A"/>
    <w:rsid w:val="00F70795"/>
    <w:rsid w:val="00F70C88"/>
    <w:rsid w:val="00F70DE4"/>
    <w:rsid w:val="00F71166"/>
    <w:rsid w:val="00F71198"/>
    <w:rsid w:val="00F71F97"/>
    <w:rsid w:val="00F71FD9"/>
    <w:rsid w:val="00F72E4C"/>
    <w:rsid w:val="00F72F55"/>
    <w:rsid w:val="00F72F5B"/>
    <w:rsid w:val="00F73A11"/>
    <w:rsid w:val="00F73A3C"/>
    <w:rsid w:val="00F73D35"/>
    <w:rsid w:val="00F73F39"/>
    <w:rsid w:val="00F73F75"/>
    <w:rsid w:val="00F74089"/>
    <w:rsid w:val="00F74153"/>
    <w:rsid w:val="00F74AB6"/>
    <w:rsid w:val="00F75058"/>
    <w:rsid w:val="00F7589C"/>
    <w:rsid w:val="00F75AB1"/>
    <w:rsid w:val="00F75B8F"/>
    <w:rsid w:val="00F75C2E"/>
    <w:rsid w:val="00F76033"/>
    <w:rsid w:val="00F764A3"/>
    <w:rsid w:val="00F76B60"/>
    <w:rsid w:val="00F76D27"/>
    <w:rsid w:val="00F77190"/>
    <w:rsid w:val="00F77C3C"/>
    <w:rsid w:val="00F77CAD"/>
    <w:rsid w:val="00F80A90"/>
    <w:rsid w:val="00F81290"/>
    <w:rsid w:val="00F81536"/>
    <w:rsid w:val="00F81C5F"/>
    <w:rsid w:val="00F823CE"/>
    <w:rsid w:val="00F825A8"/>
    <w:rsid w:val="00F82627"/>
    <w:rsid w:val="00F82AB0"/>
    <w:rsid w:val="00F82AF8"/>
    <w:rsid w:val="00F82C0B"/>
    <w:rsid w:val="00F82CD2"/>
    <w:rsid w:val="00F83036"/>
    <w:rsid w:val="00F8347A"/>
    <w:rsid w:val="00F83A77"/>
    <w:rsid w:val="00F83E7A"/>
    <w:rsid w:val="00F84271"/>
    <w:rsid w:val="00F842CD"/>
    <w:rsid w:val="00F84FDA"/>
    <w:rsid w:val="00F85170"/>
    <w:rsid w:val="00F856DA"/>
    <w:rsid w:val="00F85768"/>
    <w:rsid w:val="00F85BC5"/>
    <w:rsid w:val="00F85F92"/>
    <w:rsid w:val="00F8668C"/>
    <w:rsid w:val="00F87947"/>
    <w:rsid w:val="00F87FFD"/>
    <w:rsid w:val="00F91CF2"/>
    <w:rsid w:val="00F9228F"/>
    <w:rsid w:val="00F9253C"/>
    <w:rsid w:val="00F927A0"/>
    <w:rsid w:val="00F934B9"/>
    <w:rsid w:val="00F934DB"/>
    <w:rsid w:val="00F93A97"/>
    <w:rsid w:val="00F942D1"/>
    <w:rsid w:val="00F94632"/>
    <w:rsid w:val="00F94887"/>
    <w:rsid w:val="00F95491"/>
    <w:rsid w:val="00F95A8A"/>
    <w:rsid w:val="00F95A96"/>
    <w:rsid w:val="00F95B0F"/>
    <w:rsid w:val="00F96363"/>
    <w:rsid w:val="00F96642"/>
    <w:rsid w:val="00F97175"/>
    <w:rsid w:val="00F977A5"/>
    <w:rsid w:val="00F97A81"/>
    <w:rsid w:val="00F97BB1"/>
    <w:rsid w:val="00F97EB8"/>
    <w:rsid w:val="00FA0335"/>
    <w:rsid w:val="00FA078A"/>
    <w:rsid w:val="00FA084B"/>
    <w:rsid w:val="00FA0C01"/>
    <w:rsid w:val="00FA0DB5"/>
    <w:rsid w:val="00FA133A"/>
    <w:rsid w:val="00FA1377"/>
    <w:rsid w:val="00FA152A"/>
    <w:rsid w:val="00FA1839"/>
    <w:rsid w:val="00FA1D12"/>
    <w:rsid w:val="00FA1D1B"/>
    <w:rsid w:val="00FA3014"/>
    <w:rsid w:val="00FA3A6A"/>
    <w:rsid w:val="00FA3C83"/>
    <w:rsid w:val="00FA3F69"/>
    <w:rsid w:val="00FA40FE"/>
    <w:rsid w:val="00FA4413"/>
    <w:rsid w:val="00FA49E9"/>
    <w:rsid w:val="00FA4A64"/>
    <w:rsid w:val="00FA4CFE"/>
    <w:rsid w:val="00FA502D"/>
    <w:rsid w:val="00FA6007"/>
    <w:rsid w:val="00FA6121"/>
    <w:rsid w:val="00FA627D"/>
    <w:rsid w:val="00FA628D"/>
    <w:rsid w:val="00FA6344"/>
    <w:rsid w:val="00FA768C"/>
    <w:rsid w:val="00FA7715"/>
    <w:rsid w:val="00FA7E22"/>
    <w:rsid w:val="00FA7E4E"/>
    <w:rsid w:val="00FA7FE7"/>
    <w:rsid w:val="00FB0665"/>
    <w:rsid w:val="00FB0C65"/>
    <w:rsid w:val="00FB14A8"/>
    <w:rsid w:val="00FB1A40"/>
    <w:rsid w:val="00FB1A45"/>
    <w:rsid w:val="00FB1CF2"/>
    <w:rsid w:val="00FB1CF4"/>
    <w:rsid w:val="00FB263B"/>
    <w:rsid w:val="00FB3216"/>
    <w:rsid w:val="00FB355E"/>
    <w:rsid w:val="00FB389C"/>
    <w:rsid w:val="00FB4797"/>
    <w:rsid w:val="00FB51B8"/>
    <w:rsid w:val="00FB5657"/>
    <w:rsid w:val="00FB5BFC"/>
    <w:rsid w:val="00FB5D10"/>
    <w:rsid w:val="00FB6C27"/>
    <w:rsid w:val="00FB6CCA"/>
    <w:rsid w:val="00FB724C"/>
    <w:rsid w:val="00FB7544"/>
    <w:rsid w:val="00FB7642"/>
    <w:rsid w:val="00FB7E5F"/>
    <w:rsid w:val="00FC023E"/>
    <w:rsid w:val="00FC02E9"/>
    <w:rsid w:val="00FC0612"/>
    <w:rsid w:val="00FC0721"/>
    <w:rsid w:val="00FC0E25"/>
    <w:rsid w:val="00FC1ABD"/>
    <w:rsid w:val="00FC21C3"/>
    <w:rsid w:val="00FC2233"/>
    <w:rsid w:val="00FC23CC"/>
    <w:rsid w:val="00FC24C4"/>
    <w:rsid w:val="00FC29B6"/>
    <w:rsid w:val="00FC32DA"/>
    <w:rsid w:val="00FC332F"/>
    <w:rsid w:val="00FC408E"/>
    <w:rsid w:val="00FC451E"/>
    <w:rsid w:val="00FC4579"/>
    <w:rsid w:val="00FC4853"/>
    <w:rsid w:val="00FC491B"/>
    <w:rsid w:val="00FC5742"/>
    <w:rsid w:val="00FC5C86"/>
    <w:rsid w:val="00FC6043"/>
    <w:rsid w:val="00FC60C9"/>
    <w:rsid w:val="00FC6303"/>
    <w:rsid w:val="00FC66BF"/>
    <w:rsid w:val="00FC680F"/>
    <w:rsid w:val="00FC75AA"/>
    <w:rsid w:val="00FC7C09"/>
    <w:rsid w:val="00FC7C70"/>
    <w:rsid w:val="00FC7EA1"/>
    <w:rsid w:val="00FD1590"/>
    <w:rsid w:val="00FD180C"/>
    <w:rsid w:val="00FD1900"/>
    <w:rsid w:val="00FD2143"/>
    <w:rsid w:val="00FD23FE"/>
    <w:rsid w:val="00FD2589"/>
    <w:rsid w:val="00FD36BC"/>
    <w:rsid w:val="00FD3BAA"/>
    <w:rsid w:val="00FD3E8D"/>
    <w:rsid w:val="00FD4A3E"/>
    <w:rsid w:val="00FD505C"/>
    <w:rsid w:val="00FD5557"/>
    <w:rsid w:val="00FD562C"/>
    <w:rsid w:val="00FD571A"/>
    <w:rsid w:val="00FD5CF9"/>
    <w:rsid w:val="00FD5F43"/>
    <w:rsid w:val="00FD60BD"/>
    <w:rsid w:val="00FD616A"/>
    <w:rsid w:val="00FD62E1"/>
    <w:rsid w:val="00FD657F"/>
    <w:rsid w:val="00FD6BE0"/>
    <w:rsid w:val="00FD6F85"/>
    <w:rsid w:val="00FD7118"/>
    <w:rsid w:val="00FD711D"/>
    <w:rsid w:val="00FD78C1"/>
    <w:rsid w:val="00FD7F96"/>
    <w:rsid w:val="00FE0AE8"/>
    <w:rsid w:val="00FE0BCD"/>
    <w:rsid w:val="00FE0E9D"/>
    <w:rsid w:val="00FE130B"/>
    <w:rsid w:val="00FE15B3"/>
    <w:rsid w:val="00FE190D"/>
    <w:rsid w:val="00FE2873"/>
    <w:rsid w:val="00FE2E2E"/>
    <w:rsid w:val="00FE30B8"/>
    <w:rsid w:val="00FE3DF2"/>
    <w:rsid w:val="00FE400D"/>
    <w:rsid w:val="00FE4158"/>
    <w:rsid w:val="00FE418B"/>
    <w:rsid w:val="00FE4253"/>
    <w:rsid w:val="00FE47C0"/>
    <w:rsid w:val="00FE4939"/>
    <w:rsid w:val="00FE4AA1"/>
    <w:rsid w:val="00FE4BAD"/>
    <w:rsid w:val="00FE56E8"/>
    <w:rsid w:val="00FE57B2"/>
    <w:rsid w:val="00FE5966"/>
    <w:rsid w:val="00FE5C44"/>
    <w:rsid w:val="00FE6655"/>
    <w:rsid w:val="00FE75A2"/>
    <w:rsid w:val="00FE7694"/>
    <w:rsid w:val="00FE770D"/>
    <w:rsid w:val="00FE7850"/>
    <w:rsid w:val="00FF005E"/>
    <w:rsid w:val="00FF00BB"/>
    <w:rsid w:val="00FF02DA"/>
    <w:rsid w:val="00FF23B5"/>
    <w:rsid w:val="00FF3798"/>
    <w:rsid w:val="00FF388F"/>
    <w:rsid w:val="00FF3D4B"/>
    <w:rsid w:val="00FF3EC6"/>
    <w:rsid w:val="00FF488C"/>
    <w:rsid w:val="00FF492B"/>
    <w:rsid w:val="00FF4E8A"/>
    <w:rsid w:val="00FF5849"/>
    <w:rsid w:val="00FF599A"/>
    <w:rsid w:val="00FF6833"/>
    <w:rsid w:val="00FF6A21"/>
    <w:rsid w:val="00FF6A50"/>
    <w:rsid w:val="00FF6BC4"/>
    <w:rsid w:val="00FF72FE"/>
    <w:rsid w:val="00FF75C3"/>
    <w:rsid w:val="00FF791B"/>
    <w:rsid w:val="00FF7EC3"/>
    <w:rsid w:val="017A7CFF"/>
    <w:rsid w:val="01D72088"/>
    <w:rsid w:val="022FF575"/>
    <w:rsid w:val="024DE951"/>
    <w:rsid w:val="028CE5D1"/>
    <w:rsid w:val="02F003AD"/>
    <w:rsid w:val="0327C5A0"/>
    <w:rsid w:val="034E6A2E"/>
    <w:rsid w:val="039009C2"/>
    <w:rsid w:val="03A48C71"/>
    <w:rsid w:val="03B24AF6"/>
    <w:rsid w:val="03D6AC75"/>
    <w:rsid w:val="0404837B"/>
    <w:rsid w:val="044E4791"/>
    <w:rsid w:val="04758397"/>
    <w:rsid w:val="050CEDA6"/>
    <w:rsid w:val="05150D02"/>
    <w:rsid w:val="05473A05"/>
    <w:rsid w:val="05C9421E"/>
    <w:rsid w:val="06B07648"/>
    <w:rsid w:val="06B16EC3"/>
    <w:rsid w:val="06DE4CC8"/>
    <w:rsid w:val="07984A7B"/>
    <w:rsid w:val="07C5826D"/>
    <w:rsid w:val="0820CD0E"/>
    <w:rsid w:val="085DA166"/>
    <w:rsid w:val="098AF8F5"/>
    <w:rsid w:val="09A54F47"/>
    <w:rsid w:val="09FDC14E"/>
    <w:rsid w:val="0A5ECCB0"/>
    <w:rsid w:val="0A6ABE8A"/>
    <w:rsid w:val="0A91AAA1"/>
    <w:rsid w:val="0B9991AF"/>
    <w:rsid w:val="0BA24188"/>
    <w:rsid w:val="0BD5FA01"/>
    <w:rsid w:val="0C056FD8"/>
    <w:rsid w:val="0C1E484B"/>
    <w:rsid w:val="0C2E8703"/>
    <w:rsid w:val="0C549419"/>
    <w:rsid w:val="0C710FD2"/>
    <w:rsid w:val="0C787620"/>
    <w:rsid w:val="0DF20051"/>
    <w:rsid w:val="0E666B0F"/>
    <w:rsid w:val="0EE8628E"/>
    <w:rsid w:val="0F1EA3C4"/>
    <w:rsid w:val="0F56FC07"/>
    <w:rsid w:val="0F7B2BDA"/>
    <w:rsid w:val="0F8281E8"/>
    <w:rsid w:val="0FC4837F"/>
    <w:rsid w:val="0FEBBF85"/>
    <w:rsid w:val="0FFD7DDA"/>
    <w:rsid w:val="100E54FF"/>
    <w:rsid w:val="102740D7"/>
    <w:rsid w:val="10607F55"/>
    <w:rsid w:val="1065594C"/>
    <w:rsid w:val="10C61C41"/>
    <w:rsid w:val="115146BC"/>
    <w:rsid w:val="11B620FF"/>
    <w:rsid w:val="1274C714"/>
    <w:rsid w:val="1377E9E0"/>
    <w:rsid w:val="14C227F0"/>
    <w:rsid w:val="14C5508D"/>
    <w:rsid w:val="1504EABE"/>
    <w:rsid w:val="15F5C4A0"/>
    <w:rsid w:val="1616DC17"/>
    <w:rsid w:val="169A03AB"/>
    <w:rsid w:val="169F6DBC"/>
    <w:rsid w:val="16BECC72"/>
    <w:rsid w:val="16E61DD7"/>
    <w:rsid w:val="16F503ED"/>
    <w:rsid w:val="174F68B0"/>
    <w:rsid w:val="18A4D325"/>
    <w:rsid w:val="18B7CA99"/>
    <w:rsid w:val="1935D3BE"/>
    <w:rsid w:val="19410630"/>
    <w:rsid w:val="194E7CD9"/>
    <w:rsid w:val="1992A1CB"/>
    <w:rsid w:val="1995616E"/>
    <w:rsid w:val="19C4B4A7"/>
    <w:rsid w:val="1A338346"/>
    <w:rsid w:val="1AC76242"/>
    <w:rsid w:val="1B02A2D1"/>
    <w:rsid w:val="1B1B68C9"/>
    <w:rsid w:val="1B622138"/>
    <w:rsid w:val="1BAE5821"/>
    <w:rsid w:val="1C170E12"/>
    <w:rsid w:val="1C18E2D0"/>
    <w:rsid w:val="1C393172"/>
    <w:rsid w:val="1C4054AF"/>
    <w:rsid w:val="1C411EF8"/>
    <w:rsid w:val="1C802DC7"/>
    <w:rsid w:val="1C93F963"/>
    <w:rsid w:val="1D26A325"/>
    <w:rsid w:val="1E38E29B"/>
    <w:rsid w:val="1EC1D45A"/>
    <w:rsid w:val="1EC8C4C6"/>
    <w:rsid w:val="1F79D94B"/>
    <w:rsid w:val="1FD36FA8"/>
    <w:rsid w:val="1FEB260E"/>
    <w:rsid w:val="1FF77365"/>
    <w:rsid w:val="20358222"/>
    <w:rsid w:val="206C9F24"/>
    <w:rsid w:val="2085ABFD"/>
    <w:rsid w:val="20B2A791"/>
    <w:rsid w:val="20E4CD9E"/>
    <w:rsid w:val="20F1850B"/>
    <w:rsid w:val="22217C5E"/>
    <w:rsid w:val="222974C3"/>
    <w:rsid w:val="225B2D79"/>
    <w:rsid w:val="22AF3430"/>
    <w:rsid w:val="2331BCB1"/>
    <w:rsid w:val="23469B9B"/>
    <w:rsid w:val="235888FB"/>
    <w:rsid w:val="251A8B6E"/>
    <w:rsid w:val="25255508"/>
    <w:rsid w:val="253FF3D0"/>
    <w:rsid w:val="25BB1B24"/>
    <w:rsid w:val="25CB4274"/>
    <w:rsid w:val="25D21E4A"/>
    <w:rsid w:val="266E64F0"/>
    <w:rsid w:val="26BC74B6"/>
    <w:rsid w:val="27996D2C"/>
    <w:rsid w:val="27AAA803"/>
    <w:rsid w:val="28F1758E"/>
    <w:rsid w:val="2918E36A"/>
    <w:rsid w:val="294EC400"/>
    <w:rsid w:val="296C8E29"/>
    <w:rsid w:val="2987F85F"/>
    <w:rsid w:val="29BAF2F9"/>
    <w:rsid w:val="2A119E8B"/>
    <w:rsid w:val="2A39D6B0"/>
    <w:rsid w:val="2A529129"/>
    <w:rsid w:val="2A62FF34"/>
    <w:rsid w:val="2B72049A"/>
    <w:rsid w:val="2BAC3E44"/>
    <w:rsid w:val="2BACF4E6"/>
    <w:rsid w:val="2C124BD3"/>
    <w:rsid w:val="2D6F0D7B"/>
    <w:rsid w:val="2DE7FE6F"/>
    <w:rsid w:val="2DF0B543"/>
    <w:rsid w:val="2F478EB5"/>
    <w:rsid w:val="2F931169"/>
    <w:rsid w:val="2FA8E2C1"/>
    <w:rsid w:val="30229191"/>
    <w:rsid w:val="308C3CE2"/>
    <w:rsid w:val="3112A519"/>
    <w:rsid w:val="31313FAA"/>
    <w:rsid w:val="319454B0"/>
    <w:rsid w:val="31CA961F"/>
    <w:rsid w:val="31DDD50C"/>
    <w:rsid w:val="3246FA09"/>
    <w:rsid w:val="326D19D7"/>
    <w:rsid w:val="32F23D79"/>
    <w:rsid w:val="331F841E"/>
    <w:rsid w:val="332FE2B9"/>
    <w:rsid w:val="3357386E"/>
    <w:rsid w:val="33D26570"/>
    <w:rsid w:val="33D8AA64"/>
    <w:rsid w:val="33F20109"/>
    <w:rsid w:val="348E0DDA"/>
    <w:rsid w:val="34A1DC9D"/>
    <w:rsid w:val="34BC5CE7"/>
    <w:rsid w:val="34BED7C9"/>
    <w:rsid w:val="34DF532E"/>
    <w:rsid w:val="34EFDB96"/>
    <w:rsid w:val="354FF07C"/>
    <w:rsid w:val="356B1BAF"/>
    <w:rsid w:val="35B51280"/>
    <w:rsid w:val="35FE2508"/>
    <w:rsid w:val="360415A7"/>
    <w:rsid w:val="360E63C0"/>
    <w:rsid w:val="36242F3A"/>
    <w:rsid w:val="36E542AA"/>
    <w:rsid w:val="3725A318"/>
    <w:rsid w:val="3753CCA6"/>
    <w:rsid w:val="37E5ABE1"/>
    <w:rsid w:val="3825841A"/>
    <w:rsid w:val="383FA5F2"/>
    <w:rsid w:val="383FD7C8"/>
    <w:rsid w:val="38D9083F"/>
    <w:rsid w:val="38DE3243"/>
    <w:rsid w:val="3900761B"/>
    <w:rsid w:val="3957E169"/>
    <w:rsid w:val="399CA587"/>
    <w:rsid w:val="3A0A0F20"/>
    <w:rsid w:val="3A0D3BD6"/>
    <w:rsid w:val="3A75D4BF"/>
    <w:rsid w:val="3A9D10C5"/>
    <w:rsid w:val="3B1B0B42"/>
    <w:rsid w:val="3B1BBFCD"/>
    <w:rsid w:val="3B2242E3"/>
    <w:rsid w:val="3BF780A4"/>
    <w:rsid w:val="3C5D4546"/>
    <w:rsid w:val="3D1A4486"/>
    <w:rsid w:val="3D2CA50C"/>
    <w:rsid w:val="3D57DDD7"/>
    <w:rsid w:val="3DE19640"/>
    <w:rsid w:val="3E77D15F"/>
    <w:rsid w:val="3EB5403F"/>
    <w:rsid w:val="3EBD2CF5"/>
    <w:rsid w:val="3F132CE5"/>
    <w:rsid w:val="3F3BD743"/>
    <w:rsid w:val="3FE17BE3"/>
    <w:rsid w:val="40A17A51"/>
    <w:rsid w:val="40E7B091"/>
    <w:rsid w:val="40F9F5BE"/>
    <w:rsid w:val="41010BBF"/>
    <w:rsid w:val="418A4CC6"/>
    <w:rsid w:val="422790A0"/>
    <w:rsid w:val="42449560"/>
    <w:rsid w:val="42A822AA"/>
    <w:rsid w:val="42D78997"/>
    <w:rsid w:val="42FEAAEC"/>
    <w:rsid w:val="43091FF2"/>
    <w:rsid w:val="43910D71"/>
    <w:rsid w:val="43CC86C8"/>
    <w:rsid w:val="4466A622"/>
    <w:rsid w:val="44CF8D23"/>
    <w:rsid w:val="452328DC"/>
    <w:rsid w:val="45F9C253"/>
    <w:rsid w:val="4617DF3F"/>
    <w:rsid w:val="4638D2F5"/>
    <w:rsid w:val="463F60D7"/>
    <w:rsid w:val="4659270E"/>
    <w:rsid w:val="47402798"/>
    <w:rsid w:val="476F82FA"/>
    <w:rsid w:val="47B3FE2F"/>
    <w:rsid w:val="47CBA2CB"/>
    <w:rsid w:val="47E065ED"/>
    <w:rsid w:val="480FAF8F"/>
    <w:rsid w:val="4872A4FD"/>
    <w:rsid w:val="48D6CDF5"/>
    <w:rsid w:val="499B0FF1"/>
    <w:rsid w:val="49CCC3AB"/>
    <w:rsid w:val="4AECBF5F"/>
    <w:rsid w:val="4B0F0337"/>
    <w:rsid w:val="4B83B145"/>
    <w:rsid w:val="4C072415"/>
    <w:rsid w:val="4C98C13C"/>
    <w:rsid w:val="4CA4A9D6"/>
    <w:rsid w:val="4CBCA0CF"/>
    <w:rsid w:val="4CFCA204"/>
    <w:rsid w:val="4D16AA8A"/>
    <w:rsid w:val="4E23A39E"/>
    <w:rsid w:val="4E3A6749"/>
    <w:rsid w:val="500DD109"/>
    <w:rsid w:val="50BC376B"/>
    <w:rsid w:val="5117615F"/>
    <w:rsid w:val="512DFA06"/>
    <w:rsid w:val="516A0F04"/>
    <w:rsid w:val="520502E6"/>
    <w:rsid w:val="52511DE1"/>
    <w:rsid w:val="52A5E860"/>
    <w:rsid w:val="52BD24C0"/>
    <w:rsid w:val="52DBC29A"/>
    <w:rsid w:val="530B0459"/>
    <w:rsid w:val="5328EF6F"/>
    <w:rsid w:val="54913F38"/>
    <w:rsid w:val="549A5659"/>
    <w:rsid w:val="54EE8B8C"/>
    <w:rsid w:val="55613FF3"/>
    <w:rsid w:val="55B4ED49"/>
    <w:rsid w:val="5688CA44"/>
    <w:rsid w:val="57225D74"/>
    <w:rsid w:val="577F1E2D"/>
    <w:rsid w:val="579BD9C9"/>
    <w:rsid w:val="57BC42AF"/>
    <w:rsid w:val="57D16985"/>
    <w:rsid w:val="57FF2BC8"/>
    <w:rsid w:val="580084DA"/>
    <w:rsid w:val="58363930"/>
    <w:rsid w:val="588C7832"/>
    <w:rsid w:val="588E7070"/>
    <w:rsid w:val="58BDFCF2"/>
    <w:rsid w:val="5945BDD3"/>
    <w:rsid w:val="5958ECCB"/>
    <w:rsid w:val="598A52BF"/>
    <w:rsid w:val="59FDE55F"/>
    <w:rsid w:val="5AF28860"/>
    <w:rsid w:val="5B185C1B"/>
    <w:rsid w:val="5BF60168"/>
    <w:rsid w:val="5C298AAF"/>
    <w:rsid w:val="5C5FE13D"/>
    <w:rsid w:val="5D24D312"/>
    <w:rsid w:val="5DB9ACFB"/>
    <w:rsid w:val="5EC7DC25"/>
    <w:rsid w:val="5F49994F"/>
    <w:rsid w:val="5F91D272"/>
    <w:rsid w:val="5FA58D8C"/>
    <w:rsid w:val="5FF80A4B"/>
    <w:rsid w:val="601C1211"/>
    <w:rsid w:val="60278B40"/>
    <w:rsid w:val="60753903"/>
    <w:rsid w:val="6105B516"/>
    <w:rsid w:val="6113937E"/>
    <w:rsid w:val="61308CCD"/>
    <w:rsid w:val="61336C6D"/>
    <w:rsid w:val="6165A02B"/>
    <w:rsid w:val="61E14BFF"/>
    <w:rsid w:val="634E24EF"/>
    <w:rsid w:val="635891C9"/>
    <w:rsid w:val="63B0B918"/>
    <w:rsid w:val="64301FE8"/>
    <w:rsid w:val="644AE3A9"/>
    <w:rsid w:val="64E9F550"/>
    <w:rsid w:val="6542459A"/>
    <w:rsid w:val="659DBA38"/>
    <w:rsid w:val="65D76A9D"/>
    <w:rsid w:val="663166C8"/>
    <w:rsid w:val="66CDB31D"/>
    <w:rsid w:val="677429E1"/>
    <w:rsid w:val="67990807"/>
    <w:rsid w:val="67E08B86"/>
    <w:rsid w:val="68417C0A"/>
    <w:rsid w:val="684B2E0A"/>
    <w:rsid w:val="6850EF86"/>
    <w:rsid w:val="69621A9A"/>
    <w:rsid w:val="69933239"/>
    <w:rsid w:val="69B7E316"/>
    <w:rsid w:val="69CF2339"/>
    <w:rsid w:val="6A331897"/>
    <w:rsid w:val="6AB4F35A"/>
    <w:rsid w:val="6AD9F59C"/>
    <w:rsid w:val="6BC08688"/>
    <w:rsid w:val="6BE54DD3"/>
    <w:rsid w:val="6C5DCE53"/>
    <w:rsid w:val="6C60B2B2"/>
    <w:rsid w:val="6CA2C4F8"/>
    <w:rsid w:val="6CCAD2FB"/>
    <w:rsid w:val="6CE2DA94"/>
    <w:rsid w:val="6DC2567D"/>
    <w:rsid w:val="6DC4E821"/>
    <w:rsid w:val="6E66A35C"/>
    <w:rsid w:val="6E6E0E2D"/>
    <w:rsid w:val="6EB24880"/>
    <w:rsid w:val="6EDCB086"/>
    <w:rsid w:val="6F3B4F2D"/>
    <w:rsid w:val="6F6620A7"/>
    <w:rsid w:val="6F85C78B"/>
    <w:rsid w:val="6FAD9B09"/>
    <w:rsid w:val="6FAF5595"/>
    <w:rsid w:val="6FE1BBC8"/>
    <w:rsid w:val="7019BBDA"/>
    <w:rsid w:val="706AD4C5"/>
    <w:rsid w:val="70F46799"/>
    <w:rsid w:val="719B49B6"/>
    <w:rsid w:val="719DDF0F"/>
    <w:rsid w:val="71BDAFB4"/>
    <w:rsid w:val="7220172D"/>
    <w:rsid w:val="7261E6EE"/>
    <w:rsid w:val="7284AE04"/>
    <w:rsid w:val="72C42E97"/>
    <w:rsid w:val="72C5FA87"/>
    <w:rsid w:val="7371F871"/>
    <w:rsid w:val="7374EB25"/>
    <w:rsid w:val="73A24A6A"/>
    <w:rsid w:val="73CECA68"/>
    <w:rsid w:val="741E2783"/>
    <w:rsid w:val="754411FC"/>
    <w:rsid w:val="7549213A"/>
    <w:rsid w:val="75902AE3"/>
    <w:rsid w:val="75B142FE"/>
    <w:rsid w:val="76292BBC"/>
    <w:rsid w:val="763879A3"/>
    <w:rsid w:val="7665C3F8"/>
    <w:rsid w:val="76828E56"/>
    <w:rsid w:val="78D81114"/>
    <w:rsid w:val="78E01DF2"/>
    <w:rsid w:val="78F3A022"/>
    <w:rsid w:val="79A1AD59"/>
    <w:rsid w:val="79CDF9A4"/>
    <w:rsid w:val="79F146D7"/>
    <w:rsid w:val="7A6BFCB4"/>
    <w:rsid w:val="7A753DC4"/>
    <w:rsid w:val="7AA26D1C"/>
    <w:rsid w:val="7B7181D6"/>
    <w:rsid w:val="7B895968"/>
    <w:rsid w:val="7BC0D255"/>
    <w:rsid w:val="7BE021D0"/>
    <w:rsid w:val="7C503174"/>
    <w:rsid w:val="7C514954"/>
    <w:rsid w:val="7CEDA9A8"/>
    <w:rsid w:val="7D2F4B25"/>
    <w:rsid w:val="7D5C8451"/>
    <w:rsid w:val="7DC056B8"/>
    <w:rsid w:val="7DC11852"/>
    <w:rsid w:val="7DC3118B"/>
    <w:rsid w:val="7E070B60"/>
    <w:rsid w:val="7E7F342B"/>
    <w:rsid w:val="7EA5CB7D"/>
    <w:rsid w:val="7EC83113"/>
    <w:rsid w:val="7EE232D6"/>
    <w:rsid w:val="7F1D6041"/>
    <w:rsid w:val="7F47A5EE"/>
    <w:rsid w:val="7F6D276B"/>
    <w:rsid w:val="7FAFC929"/>
    <w:rsid w:val="7FCF3BA7"/>
    <w:rsid w:val="7FD85E4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4837B"/>
  <w15:chartTrackingRefBased/>
  <w15:docId w15:val="{CDFA95A2-4F0B-4179-A735-BFD3A9CA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4243"/>
    <w:pPr>
      <w:keepNext/>
      <w:keepLines/>
      <w:spacing w:before="240" w:after="0"/>
      <w:outlineLvl w:val="0"/>
    </w:pPr>
    <w:rPr>
      <w:rFonts w:ascii="Times New Roman" w:eastAsiaTheme="majorEastAsia" w:hAnsi="Times New Roman"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4499D"/>
    <w:pPr>
      <w:keepNext/>
      <w:keepLines/>
      <w:spacing w:before="40" w:after="0"/>
      <w:outlineLvl w:val="1"/>
    </w:pPr>
    <w:rPr>
      <w:rFonts w:ascii="Times New Roman" w:eastAsiaTheme="majorEastAsia" w:hAnsi="Times New Roman"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419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946"/>
  </w:style>
  <w:style w:type="paragraph" w:styleId="Footer">
    <w:name w:val="footer"/>
    <w:basedOn w:val="Normal"/>
    <w:link w:val="FooterChar"/>
    <w:uiPriority w:val="99"/>
    <w:unhideWhenUsed/>
    <w:rsid w:val="004419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946"/>
  </w:style>
  <w:style w:type="paragraph" w:styleId="ListParagraph">
    <w:name w:val="List Paragraph"/>
    <w:basedOn w:val="Normal"/>
    <w:uiPriority w:val="34"/>
    <w:qFormat/>
    <w:rsid w:val="000F0C14"/>
    <w:pPr>
      <w:ind w:left="720"/>
      <w:contextualSpacing/>
    </w:pPr>
  </w:style>
  <w:style w:type="character" w:customStyle="1" w:styleId="Heading2Char">
    <w:name w:val="Heading 2 Char"/>
    <w:basedOn w:val="DefaultParagraphFont"/>
    <w:link w:val="Heading2"/>
    <w:uiPriority w:val="9"/>
    <w:rsid w:val="0084499D"/>
    <w:rPr>
      <w:rFonts w:ascii="Times New Roman" w:eastAsiaTheme="majorEastAsia" w:hAnsi="Times New Roman" w:cstheme="majorBidi"/>
      <w:color w:val="2F5496" w:themeColor="accent1" w:themeShade="BF"/>
      <w:sz w:val="26"/>
      <w:szCs w:val="26"/>
    </w:rPr>
  </w:style>
  <w:style w:type="character" w:customStyle="1" w:styleId="Heading1Char">
    <w:name w:val="Heading 1 Char"/>
    <w:basedOn w:val="DefaultParagraphFont"/>
    <w:link w:val="Heading1"/>
    <w:uiPriority w:val="9"/>
    <w:rsid w:val="00064243"/>
    <w:rPr>
      <w:rFonts w:ascii="Times New Roman" w:eastAsiaTheme="majorEastAsia" w:hAnsi="Times New Roman" w:cstheme="majorBidi"/>
      <w:color w:val="2F5496" w:themeColor="accent1" w:themeShade="BF"/>
      <w:sz w:val="32"/>
      <w:szCs w:val="32"/>
    </w:rPr>
  </w:style>
  <w:style w:type="table" w:styleId="TableGrid">
    <w:name w:val="Table Grid"/>
    <w:basedOn w:val="TableNormal"/>
    <w:uiPriority w:val="59"/>
    <w:rsid w:val="00D93F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uiPriority w:val="19"/>
    <w:qFormat/>
    <w:rsid w:val="00262018"/>
    <w:rPr>
      <w:rFonts w:ascii="Times New Roman" w:hAnsi="Times New Roman"/>
      <w:i/>
      <w:iCs/>
      <w:color w:val="1F3763" w:themeColor="accent1" w:themeShade="7F"/>
      <w:sz w:val="26"/>
    </w:rPr>
  </w:style>
  <w:style w:type="paragraph" w:styleId="TOCHeading">
    <w:name w:val="TOC Heading"/>
    <w:basedOn w:val="Heading1"/>
    <w:next w:val="Normal"/>
    <w:uiPriority w:val="39"/>
    <w:unhideWhenUsed/>
    <w:qFormat/>
    <w:rsid w:val="00907393"/>
    <w:pPr>
      <w:outlineLvl w:val="9"/>
    </w:pPr>
    <w:rPr>
      <w:rFonts w:asciiTheme="majorHAnsi" w:hAnsiTheme="majorHAnsi"/>
    </w:rPr>
  </w:style>
  <w:style w:type="paragraph" w:styleId="TOC1">
    <w:name w:val="toc 1"/>
    <w:basedOn w:val="Normal"/>
    <w:next w:val="Normal"/>
    <w:autoRedefine/>
    <w:uiPriority w:val="39"/>
    <w:unhideWhenUsed/>
    <w:rsid w:val="00907393"/>
    <w:pPr>
      <w:spacing w:after="100"/>
    </w:pPr>
  </w:style>
  <w:style w:type="paragraph" w:styleId="TOC2">
    <w:name w:val="toc 2"/>
    <w:basedOn w:val="Normal"/>
    <w:next w:val="Normal"/>
    <w:autoRedefine/>
    <w:uiPriority w:val="39"/>
    <w:unhideWhenUsed/>
    <w:rsid w:val="00907393"/>
    <w:pPr>
      <w:spacing w:after="100"/>
      <w:ind w:left="220"/>
    </w:pPr>
  </w:style>
  <w:style w:type="character" w:styleId="Hyperlink">
    <w:name w:val="Hyperlink"/>
    <w:basedOn w:val="DefaultParagraphFont"/>
    <w:uiPriority w:val="99"/>
    <w:unhideWhenUsed/>
    <w:rsid w:val="00907393"/>
    <w:rPr>
      <w:color w:val="0563C1" w:themeColor="hyperlink"/>
      <w:u w:val="single"/>
    </w:rPr>
  </w:style>
  <w:style w:type="character" w:styleId="IntenseEmphasis">
    <w:name w:val="Intense Emphasis"/>
    <w:basedOn w:val="DefaultParagraphFont"/>
    <w:uiPriority w:val="21"/>
    <w:qFormat/>
    <w:rsid w:val="00887DCC"/>
    <w:rPr>
      <w:rFonts w:ascii="Times New Roman" w:hAnsi="Times New Roman"/>
      <w:i/>
      <w:iCs/>
      <w:color w:val="4472C4" w:themeColor="accent1"/>
    </w:rPr>
  </w:style>
  <w:style w:type="character" w:styleId="UnresolvedMention">
    <w:name w:val="Unresolved Mention"/>
    <w:basedOn w:val="DefaultParagraphFont"/>
    <w:uiPriority w:val="99"/>
    <w:semiHidden/>
    <w:unhideWhenUsed/>
    <w:rsid w:val="00562B88"/>
    <w:rPr>
      <w:color w:val="605E5C"/>
      <w:shd w:val="clear" w:color="auto" w:fill="E1DFDD"/>
    </w:rPr>
  </w:style>
  <w:style w:type="character" w:styleId="FollowedHyperlink">
    <w:name w:val="FollowedHyperlink"/>
    <w:basedOn w:val="DefaultParagraphFont"/>
    <w:uiPriority w:val="99"/>
    <w:semiHidden/>
    <w:unhideWhenUsed/>
    <w:rsid w:val="00381C7D"/>
    <w:rPr>
      <w:color w:val="954F72" w:themeColor="followedHyperlink"/>
      <w:u w:val="single"/>
    </w:rPr>
  </w:style>
  <w:style w:type="character" w:styleId="CommentReference">
    <w:name w:val="annotation reference"/>
    <w:basedOn w:val="DefaultParagraphFont"/>
    <w:uiPriority w:val="99"/>
    <w:semiHidden/>
    <w:unhideWhenUsed/>
    <w:rsid w:val="006F1AC6"/>
    <w:rPr>
      <w:sz w:val="16"/>
      <w:szCs w:val="16"/>
    </w:rPr>
  </w:style>
  <w:style w:type="paragraph" w:styleId="CommentText">
    <w:name w:val="annotation text"/>
    <w:basedOn w:val="Normal"/>
    <w:link w:val="CommentTextChar"/>
    <w:uiPriority w:val="99"/>
    <w:semiHidden/>
    <w:unhideWhenUsed/>
    <w:rsid w:val="006F1AC6"/>
    <w:pPr>
      <w:spacing w:line="240" w:lineRule="auto"/>
    </w:pPr>
    <w:rPr>
      <w:sz w:val="20"/>
      <w:szCs w:val="20"/>
    </w:rPr>
  </w:style>
  <w:style w:type="character" w:customStyle="1" w:styleId="CommentTextChar">
    <w:name w:val="Comment Text Char"/>
    <w:basedOn w:val="DefaultParagraphFont"/>
    <w:link w:val="CommentText"/>
    <w:uiPriority w:val="99"/>
    <w:semiHidden/>
    <w:rsid w:val="006F1AC6"/>
    <w:rPr>
      <w:sz w:val="20"/>
      <w:szCs w:val="20"/>
    </w:rPr>
  </w:style>
  <w:style w:type="paragraph" w:styleId="CommentSubject">
    <w:name w:val="annotation subject"/>
    <w:basedOn w:val="CommentText"/>
    <w:next w:val="CommentText"/>
    <w:link w:val="CommentSubjectChar"/>
    <w:uiPriority w:val="99"/>
    <w:semiHidden/>
    <w:unhideWhenUsed/>
    <w:rsid w:val="006F1AC6"/>
    <w:rPr>
      <w:b/>
      <w:bCs/>
    </w:rPr>
  </w:style>
  <w:style w:type="character" w:customStyle="1" w:styleId="CommentSubjectChar">
    <w:name w:val="Comment Subject Char"/>
    <w:basedOn w:val="CommentTextChar"/>
    <w:link w:val="CommentSubject"/>
    <w:uiPriority w:val="99"/>
    <w:semiHidden/>
    <w:rsid w:val="006F1AC6"/>
    <w:rPr>
      <w:b/>
      <w:bCs/>
      <w:sz w:val="20"/>
      <w:szCs w:val="20"/>
    </w:rPr>
  </w:style>
  <w:style w:type="character" w:styleId="Mention">
    <w:name w:val="Mention"/>
    <w:basedOn w:val="DefaultParagraphFont"/>
    <w:uiPriority w:val="99"/>
    <w:unhideWhenUsed/>
    <w:rsid w:val="0017751A"/>
    <w:rPr>
      <w:color w:val="2B579A"/>
      <w:shd w:val="clear" w:color="auto" w:fill="E6E6E6"/>
    </w:rPr>
  </w:style>
  <w:style w:type="paragraph" w:customStyle="1" w:styleId="paragraph">
    <w:name w:val="paragraph"/>
    <w:basedOn w:val="Normal"/>
    <w:rsid w:val="00AF69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AF6941"/>
  </w:style>
  <w:style w:type="character" w:customStyle="1" w:styleId="eop">
    <w:name w:val="eop"/>
    <w:basedOn w:val="DefaultParagraphFont"/>
    <w:rsid w:val="00AF6941"/>
  </w:style>
  <w:style w:type="character" w:customStyle="1" w:styleId="spellingerror">
    <w:name w:val="spellingerror"/>
    <w:basedOn w:val="DefaultParagraphFont"/>
    <w:rsid w:val="000734AC"/>
  </w:style>
  <w:style w:type="character" w:customStyle="1" w:styleId="scxw59924635">
    <w:name w:val="scxw59924635"/>
    <w:basedOn w:val="DefaultParagraphFont"/>
    <w:rsid w:val="001A7F8F"/>
  </w:style>
  <w:style w:type="character" w:customStyle="1" w:styleId="advancedproofingissue">
    <w:name w:val="advancedproofingissue"/>
    <w:basedOn w:val="DefaultParagraphFont"/>
    <w:rsid w:val="00F97EB8"/>
  </w:style>
  <w:style w:type="character" w:customStyle="1" w:styleId="contextualspellingandgrammarerror">
    <w:name w:val="contextualspellingandgrammarerror"/>
    <w:basedOn w:val="DefaultParagraphFont"/>
    <w:rsid w:val="00F97EB8"/>
  </w:style>
  <w:style w:type="character" w:customStyle="1" w:styleId="scxw73392725">
    <w:name w:val="scxw73392725"/>
    <w:basedOn w:val="DefaultParagraphFont"/>
    <w:rsid w:val="00A66874"/>
  </w:style>
  <w:style w:type="character" w:customStyle="1" w:styleId="scxw158243851">
    <w:name w:val="scxw158243851"/>
    <w:basedOn w:val="DefaultParagraphFont"/>
    <w:rsid w:val="00D16CAE"/>
  </w:style>
  <w:style w:type="character" w:customStyle="1" w:styleId="scxw246590375">
    <w:name w:val="scxw246590375"/>
    <w:basedOn w:val="DefaultParagraphFont"/>
    <w:rsid w:val="00E90405"/>
  </w:style>
  <w:style w:type="character" w:customStyle="1" w:styleId="scxw95226893">
    <w:name w:val="scxw95226893"/>
    <w:basedOn w:val="DefaultParagraphFont"/>
    <w:rsid w:val="005F175E"/>
  </w:style>
  <w:style w:type="character" w:customStyle="1" w:styleId="scxw67467753">
    <w:name w:val="scxw67467753"/>
    <w:basedOn w:val="DefaultParagraphFont"/>
    <w:rsid w:val="003742E8"/>
  </w:style>
  <w:style w:type="character" w:customStyle="1" w:styleId="scxw120489810">
    <w:name w:val="scxw120489810"/>
    <w:basedOn w:val="DefaultParagraphFont"/>
    <w:rsid w:val="00147B7A"/>
  </w:style>
  <w:style w:type="character" w:customStyle="1" w:styleId="bcx0">
    <w:name w:val="bcx0"/>
    <w:basedOn w:val="DefaultParagraphFont"/>
    <w:rsid w:val="0060522B"/>
  </w:style>
  <w:style w:type="character" w:customStyle="1" w:styleId="scxw118425629">
    <w:name w:val="scxw118425629"/>
    <w:basedOn w:val="DefaultParagraphFont"/>
    <w:rsid w:val="0048594B"/>
  </w:style>
  <w:style w:type="character" w:customStyle="1" w:styleId="scxw52255993">
    <w:name w:val="scxw52255993"/>
    <w:basedOn w:val="DefaultParagraphFont"/>
    <w:rsid w:val="00344419"/>
  </w:style>
  <w:style w:type="character" w:customStyle="1" w:styleId="scxw124788065">
    <w:name w:val="scxw124788065"/>
    <w:basedOn w:val="DefaultParagraphFont"/>
    <w:rsid w:val="000536B1"/>
  </w:style>
  <w:style w:type="character" w:customStyle="1" w:styleId="scxw124215723">
    <w:name w:val="scxw124215723"/>
    <w:basedOn w:val="DefaultParagraphFont"/>
    <w:rsid w:val="00A85E92"/>
  </w:style>
  <w:style w:type="character" w:customStyle="1" w:styleId="scxw127031168">
    <w:name w:val="scxw127031168"/>
    <w:basedOn w:val="DefaultParagraphFont"/>
    <w:rsid w:val="00142424"/>
  </w:style>
  <w:style w:type="character" w:customStyle="1" w:styleId="scxw158413129">
    <w:name w:val="scxw158413129"/>
    <w:basedOn w:val="DefaultParagraphFont"/>
    <w:rsid w:val="009C4ADE"/>
  </w:style>
  <w:style w:type="character" w:customStyle="1" w:styleId="scxw237298823">
    <w:name w:val="scxw237298823"/>
    <w:basedOn w:val="DefaultParagraphFont"/>
    <w:rsid w:val="009C4ADE"/>
  </w:style>
  <w:style w:type="character" w:customStyle="1" w:styleId="scxw2242163">
    <w:name w:val="scxw2242163"/>
    <w:basedOn w:val="DefaultParagraphFont"/>
    <w:rsid w:val="009C4ADE"/>
  </w:style>
  <w:style w:type="character" w:customStyle="1" w:styleId="scxw217940311">
    <w:name w:val="scxw217940311"/>
    <w:basedOn w:val="DefaultParagraphFont"/>
    <w:rsid w:val="00893917"/>
  </w:style>
  <w:style w:type="character" w:styleId="IntenseReference">
    <w:name w:val="Intense Reference"/>
    <w:basedOn w:val="DefaultParagraphFont"/>
    <w:uiPriority w:val="32"/>
    <w:qFormat/>
    <w:rsid w:val="00F0749D"/>
    <w:rPr>
      <w:b/>
      <w:bCs/>
      <w:smallCaps/>
      <w:color w:val="4472C4" w:themeColor="accent1"/>
      <w:spacing w:val="5"/>
    </w:rPr>
  </w:style>
  <w:style w:type="character" w:customStyle="1" w:styleId="scxw250076644">
    <w:name w:val="scxw250076644"/>
    <w:basedOn w:val="DefaultParagraphFont"/>
    <w:rsid w:val="00C119DC"/>
  </w:style>
  <w:style w:type="character" w:customStyle="1" w:styleId="scxw15433395">
    <w:name w:val="scxw15433395"/>
    <w:basedOn w:val="DefaultParagraphFont"/>
    <w:rsid w:val="00643E50"/>
  </w:style>
  <w:style w:type="character" w:customStyle="1" w:styleId="scxw70757985">
    <w:name w:val="scxw70757985"/>
    <w:basedOn w:val="DefaultParagraphFont"/>
    <w:rsid w:val="00870356"/>
  </w:style>
  <w:style w:type="paragraph" w:styleId="Revision">
    <w:name w:val="Revision"/>
    <w:hidden/>
    <w:uiPriority w:val="99"/>
    <w:semiHidden/>
    <w:rsid w:val="009A2045"/>
    <w:pPr>
      <w:spacing w:after="0" w:line="240" w:lineRule="auto"/>
    </w:pPr>
  </w:style>
  <w:style w:type="character" w:customStyle="1" w:styleId="scxw215991038">
    <w:name w:val="scxw215991038"/>
    <w:basedOn w:val="DefaultParagraphFont"/>
    <w:rsid w:val="006F437F"/>
  </w:style>
  <w:style w:type="character" w:customStyle="1" w:styleId="scxw40621543">
    <w:name w:val="scxw40621543"/>
    <w:basedOn w:val="DefaultParagraphFont"/>
    <w:rsid w:val="006F437F"/>
  </w:style>
  <w:style w:type="character" w:customStyle="1" w:styleId="scxw257872928">
    <w:name w:val="scxw257872928"/>
    <w:basedOn w:val="DefaultParagraphFont"/>
    <w:rsid w:val="00002438"/>
  </w:style>
  <w:style w:type="character" w:customStyle="1" w:styleId="scxw227433378">
    <w:name w:val="scxw227433378"/>
    <w:basedOn w:val="DefaultParagraphFont"/>
    <w:rsid w:val="00E82B08"/>
  </w:style>
  <w:style w:type="character" w:customStyle="1" w:styleId="scxw193657032">
    <w:name w:val="scxw193657032"/>
    <w:basedOn w:val="DefaultParagraphFont"/>
    <w:rsid w:val="009F73EB"/>
  </w:style>
  <w:style w:type="character" w:customStyle="1" w:styleId="scxw256381762">
    <w:name w:val="scxw256381762"/>
    <w:basedOn w:val="DefaultParagraphFont"/>
    <w:rsid w:val="001526BF"/>
  </w:style>
  <w:style w:type="character" w:customStyle="1" w:styleId="scxw202753128">
    <w:name w:val="scxw202753128"/>
    <w:basedOn w:val="DefaultParagraphFont"/>
    <w:rsid w:val="00A677A3"/>
  </w:style>
  <w:style w:type="character" w:customStyle="1" w:styleId="scxw46681282">
    <w:name w:val="scxw46681282"/>
    <w:basedOn w:val="DefaultParagraphFont"/>
    <w:rsid w:val="004A6311"/>
  </w:style>
  <w:style w:type="character" w:customStyle="1" w:styleId="scxw110422706">
    <w:name w:val="scxw110422706"/>
    <w:basedOn w:val="DefaultParagraphFont"/>
    <w:rsid w:val="004A6311"/>
  </w:style>
  <w:style w:type="character" w:customStyle="1" w:styleId="scxw80676492">
    <w:name w:val="scxw80676492"/>
    <w:basedOn w:val="DefaultParagraphFont"/>
    <w:rsid w:val="004A6311"/>
  </w:style>
  <w:style w:type="character" w:customStyle="1" w:styleId="scxw49163752">
    <w:name w:val="scxw49163752"/>
    <w:basedOn w:val="DefaultParagraphFont"/>
    <w:rsid w:val="004A6311"/>
  </w:style>
  <w:style w:type="character" w:customStyle="1" w:styleId="scxw100267300">
    <w:name w:val="scxw100267300"/>
    <w:basedOn w:val="DefaultParagraphFont"/>
    <w:rsid w:val="004A6311"/>
  </w:style>
  <w:style w:type="character" w:customStyle="1" w:styleId="scxw160028431">
    <w:name w:val="scxw160028431"/>
    <w:basedOn w:val="DefaultParagraphFont"/>
    <w:rsid w:val="00FA084B"/>
  </w:style>
  <w:style w:type="character" w:customStyle="1" w:styleId="scxw124067953">
    <w:name w:val="scxw124067953"/>
    <w:basedOn w:val="DefaultParagraphFont"/>
    <w:rsid w:val="00FA084B"/>
  </w:style>
  <w:style w:type="character" w:customStyle="1" w:styleId="scxw98853530">
    <w:name w:val="scxw98853530"/>
    <w:basedOn w:val="DefaultParagraphFont"/>
    <w:rsid w:val="00FA084B"/>
  </w:style>
  <w:style w:type="character" w:customStyle="1" w:styleId="scxw131615683">
    <w:name w:val="scxw131615683"/>
    <w:basedOn w:val="DefaultParagraphFont"/>
    <w:rsid w:val="00FA084B"/>
  </w:style>
  <w:style w:type="character" w:customStyle="1" w:styleId="scxw182392987">
    <w:name w:val="scxw182392987"/>
    <w:basedOn w:val="DefaultParagraphFont"/>
    <w:rsid w:val="00FA084B"/>
  </w:style>
  <w:style w:type="character" w:customStyle="1" w:styleId="scxw170036376">
    <w:name w:val="scxw170036376"/>
    <w:basedOn w:val="DefaultParagraphFont"/>
    <w:rsid w:val="00FA084B"/>
  </w:style>
  <w:style w:type="character" w:customStyle="1" w:styleId="scxw15492598">
    <w:name w:val="scxw15492598"/>
    <w:basedOn w:val="DefaultParagraphFont"/>
    <w:rsid w:val="00FA084B"/>
  </w:style>
  <w:style w:type="character" w:customStyle="1" w:styleId="scxw53920631">
    <w:name w:val="scxw53920631"/>
    <w:basedOn w:val="DefaultParagraphFont"/>
    <w:rsid w:val="00FA084B"/>
  </w:style>
  <w:style w:type="character" w:customStyle="1" w:styleId="scxw267283011">
    <w:name w:val="scxw267283011"/>
    <w:basedOn w:val="DefaultParagraphFont"/>
    <w:rsid w:val="00FA084B"/>
  </w:style>
  <w:style w:type="character" w:customStyle="1" w:styleId="scxw100763308">
    <w:name w:val="scxw100763308"/>
    <w:basedOn w:val="DefaultParagraphFont"/>
    <w:rsid w:val="00C15443"/>
  </w:style>
  <w:style w:type="character" w:customStyle="1" w:styleId="scxw200887821">
    <w:name w:val="scxw200887821"/>
    <w:basedOn w:val="DefaultParagraphFont"/>
    <w:rsid w:val="006E1842"/>
  </w:style>
  <w:style w:type="character" w:customStyle="1" w:styleId="scxw90785609">
    <w:name w:val="scxw90785609"/>
    <w:basedOn w:val="DefaultParagraphFont"/>
    <w:rsid w:val="00806B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651">
      <w:bodyDiv w:val="1"/>
      <w:marLeft w:val="0"/>
      <w:marRight w:val="0"/>
      <w:marTop w:val="0"/>
      <w:marBottom w:val="0"/>
      <w:divBdr>
        <w:top w:val="none" w:sz="0" w:space="0" w:color="auto"/>
        <w:left w:val="none" w:sz="0" w:space="0" w:color="auto"/>
        <w:bottom w:val="none" w:sz="0" w:space="0" w:color="auto"/>
        <w:right w:val="none" w:sz="0" w:space="0" w:color="auto"/>
      </w:divBdr>
      <w:divsChild>
        <w:div w:id="91049151">
          <w:marLeft w:val="0"/>
          <w:marRight w:val="0"/>
          <w:marTop w:val="0"/>
          <w:marBottom w:val="0"/>
          <w:divBdr>
            <w:top w:val="none" w:sz="0" w:space="0" w:color="auto"/>
            <w:left w:val="none" w:sz="0" w:space="0" w:color="auto"/>
            <w:bottom w:val="none" w:sz="0" w:space="0" w:color="auto"/>
            <w:right w:val="none" w:sz="0" w:space="0" w:color="auto"/>
          </w:divBdr>
        </w:div>
        <w:div w:id="647199971">
          <w:marLeft w:val="0"/>
          <w:marRight w:val="0"/>
          <w:marTop w:val="0"/>
          <w:marBottom w:val="0"/>
          <w:divBdr>
            <w:top w:val="none" w:sz="0" w:space="0" w:color="auto"/>
            <w:left w:val="none" w:sz="0" w:space="0" w:color="auto"/>
            <w:bottom w:val="none" w:sz="0" w:space="0" w:color="auto"/>
            <w:right w:val="none" w:sz="0" w:space="0" w:color="auto"/>
          </w:divBdr>
          <w:divsChild>
            <w:div w:id="254676929">
              <w:marLeft w:val="0"/>
              <w:marRight w:val="0"/>
              <w:marTop w:val="0"/>
              <w:marBottom w:val="0"/>
              <w:divBdr>
                <w:top w:val="none" w:sz="0" w:space="0" w:color="auto"/>
                <w:left w:val="none" w:sz="0" w:space="0" w:color="auto"/>
                <w:bottom w:val="none" w:sz="0" w:space="0" w:color="auto"/>
                <w:right w:val="none" w:sz="0" w:space="0" w:color="auto"/>
              </w:divBdr>
            </w:div>
            <w:div w:id="1499612679">
              <w:marLeft w:val="0"/>
              <w:marRight w:val="0"/>
              <w:marTop w:val="0"/>
              <w:marBottom w:val="0"/>
              <w:divBdr>
                <w:top w:val="none" w:sz="0" w:space="0" w:color="auto"/>
                <w:left w:val="none" w:sz="0" w:space="0" w:color="auto"/>
                <w:bottom w:val="none" w:sz="0" w:space="0" w:color="auto"/>
                <w:right w:val="none" w:sz="0" w:space="0" w:color="auto"/>
              </w:divBdr>
            </w:div>
            <w:div w:id="1617709814">
              <w:marLeft w:val="0"/>
              <w:marRight w:val="0"/>
              <w:marTop w:val="0"/>
              <w:marBottom w:val="0"/>
              <w:divBdr>
                <w:top w:val="none" w:sz="0" w:space="0" w:color="auto"/>
                <w:left w:val="none" w:sz="0" w:space="0" w:color="auto"/>
                <w:bottom w:val="none" w:sz="0" w:space="0" w:color="auto"/>
                <w:right w:val="none" w:sz="0" w:space="0" w:color="auto"/>
              </w:divBdr>
            </w:div>
            <w:div w:id="2087996352">
              <w:marLeft w:val="0"/>
              <w:marRight w:val="0"/>
              <w:marTop w:val="0"/>
              <w:marBottom w:val="0"/>
              <w:divBdr>
                <w:top w:val="none" w:sz="0" w:space="0" w:color="auto"/>
                <w:left w:val="none" w:sz="0" w:space="0" w:color="auto"/>
                <w:bottom w:val="none" w:sz="0" w:space="0" w:color="auto"/>
                <w:right w:val="none" w:sz="0" w:space="0" w:color="auto"/>
              </w:divBdr>
            </w:div>
          </w:divsChild>
        </w:div>
        <w:div w:id="789975859">
          <w:marLeft w:val="0"/>
          <w:marRight w:val="0"/>
          <w:marTop w:val="0"/>
          <w:marBottom w:val="0"/>
          <w:divBdr>
            <w:top w:val="none" w:sz="0" w:space="0" w:color="auto"/>
            <w:left w:val="none" w:sz="0" w:space="0" w:color="auto"/>
            <w:bottom w:val="none" w:sz="0" w:space="0" w:color="auto"/>
            <w:right w:val="none" w:sz="0" w:space="0" w:color="auto"/>
          </w:divBdr>
        </w:div>
        <w:div w:id="922228868">
          <w:marLeft w:val="0"/>
          <w:marRight w:val="0"/>
          <w:marTop w:val="0"/>
          <w:marBottom w:val="0"/>
          <w:divBdr>
            <w:top w:val="none" w:sz="0" w:space="0" w:color="auto"/>
            <w:left w:val="none" w:sz="0" w:space="0" w:color="auto"/>
            <w:bottom w:val="none" w:sz="0" w:space="0" w:color="auto"/>
            <w:right w:val="none" w:sz="0" w:space="0" w:color="auto"/>
          </w:divBdr>
          <w:divsChild>
            <w:div w:id="944114580">
              <w:marLeft w:val="0"/>
              <w:marRight w:val="0"/>
              <w:marTop w:val="0"/>
              <w:marBottom w:val="0"/>
              <w:divBdr>
                <w:top w:val="none" w:sz="0" w:space="0" w:color="auto"/>
                <w:left w:val="none" w:sz="0" w:space="0" w:color="auto"/>
                <w:bottom w:val="none" w:sz="0" w:space="0" w:color="auto"/>
                <w:right w:val="none" w:sz="0" w:space="0" w:color="auto"/>
              </w:divBdr>
            </w:div>
            <w:div w:id="1036001450">
              <w:marLeft w:val="0"/>
              <w:marRight w:val="0"/>
              <w:marTop w:val="0"/>
              <w:marBottom w:val="0"/>
              <w:divBdr>
                <w:top w:val="none" w:sz="0" w:space="0" w:color="auto"/>
                <w:left w:val="none" w:sz="0" w:space="0" w:color="auto"/>
                <w:bottom w:val="none" w:sz="0" w:space="0" w:color="auto"/>
                <w:right w:val="none" w:sz="0" w:space="0" w:color="auto"/>
              </w:divBdr>
            </w:div>
            <w:div w:id="1510752168">
              <w:marLeft w:val="0"/>
              <w:marRight w:val="0"/>
              <w:marTop w:val="0"/>
              <w:marBottom w:val="0"/>
              <w:divBdr>
                <w:top w:val="none" w:sz="0" w:space="0" w:color="auto"/>
                <w:left w:val="none" w:sz="0" w:space="0" w:color="auto"/>
                <w:bottom w:val="none" w:sz="0" w:space="0" w:color="auto"/>
                <w:right w:val="none" w:sz="0" w:space="0" w:color="auto"/>
              </w:divBdr>
            </w:div>
          </w:divsChild>
        </w:div>
        <w:div w:id="941063424">
          <w:marLeft w:val="0"/>
          <w:marRight w:val="0"/>
          <w:marTop w:val="0"/>
          <w:marBottom w:val="0"/>
          <w:divBdr>
            <w:top w:val="none" w:sz="0" w:space="0" w:color="auto"/>
            <w:left w:val="none" w:sz="0" w:space="0" w:color="auto"/>
            <w:bottom w:val="none" w:sz="0" w:space="0" w:color="auto"/>
            <w:right w:val="none" w:sz="0" w:space="0" w:color="auto"/>
          </w:divBdr>
        </w:div>
        <w:div w:id="941181086">
          <w:marLeft w:val="0"/>
          <w:marRight w:val="0"/>
          <w:marTop w:val="0"/>
          <w:marBottom w:val="0"/>
          <w:divBdr>
            <w:top w:val="none" w:sz="0" w:space="0" w:color="auto"/>
            <w:left w:val="none" w:sz="0" w:space="0" w:color="auto"/>
            <w:bottom w:val="none" w:sz="0" w:space="0" w:color="auto"/>
            <w:right w:val="none" w:sz="0" w:space="0" w:color="auto"/>
          </w:divBdr>
        </w:div>
        <w:div w:id="1039550023">
          <w:marLeft w:val="0"/>
          <w:marRight w:val="0"/>
          <w:marTop w:val="0"/>
          <w:marBottom w:val="0"/>
          <w:divBdr>
            <w:top w:val="none" w:sz="0" w:space="0" w:color="auto"/>
            <w:left w:val="none" w:sz="0" w:space="0" w:color="auto"/>
            <w:bottom w:val="none" w:sz="0" w:space="0" w:color="auto"/>
            <w:right w:val="none" w:sz="0" w:space="0" w:color="auto"/>
          </w:divBdr>
        </w:div>
        <w:div w:id="1410417870">
          <w:marLeft w:val="0"/>
          <w:marRight w:val="0"/>
          <w:marTop w:val="0"/>
          <w:marBottom w:val="0"/>
          <w:divBdr>
            <w:top w:val="none" w:sz="0" w:space="0" w:color="auto"/>
            <w:left w:val="none" w:sz="0" w:space="0" w:color="auto"/>
            <w:bottom w:val="none" w:sz="0" w:space="0" w:color="auto"/>
            <w:right w:val="none" w:sz="0" w:space="0" w:color="auto"/>
          </w:divBdr>
        </w:div>
        <w:div w:id="1709257753">
          <w:marLeft w:val="0"/>
          <w:marRight w:val="0"/>
          <w:marTop w:val="0"/>
          <w:marBottom w:val="0"/>
          <w:divBdr>
            <w:top w:val="none" w:sz="0" w:space="0" w:color="auto"/>
            <w:left w:val="none" w:sz="0" w:space="0" w:color="auto"/>
            <w:bottom w:val="none" w:sz="0" w:space="0" w:color="auto"/>
            <w:right w:val="none" w:sz="0" w:space="0" w:color="auto"/>
          </w:divBdr>
        </w:div>
      </w:divsChild>
    </w:div>
    <w:div w:id="7877898">
      <w:bodyDiv w:val="1"/>
      <w:marLeft w:val="0"/>
      <w:marRight w:val="0"/>
      <w:marTop w:val="0"/>
      <w:marBottom w:val="0"/>
      <w:divBdr>
        <w:top w:val="none" w:sz="0" w:space="0" w:color="auto"/>
        <w:left w:val="none" w:sz="0" w:space="0" w:color="auto"/>
        <w:bottom w:val="none" w:sz="0" w:space="0" w:color="auto"/>
        <w:right w:val="none" w:sz="0" w:space="0" w:color="auto"/>
      </w:divBdr>
      <w:divsChild>
        <w:div w:id="870655274">
          <w:marLeft w:val="0"/>
          <w:marRight w:val="0"/>
          <w:marTop w:val="0"/>
          <w:marBottom w:val="0"/>
          <w:divBdr>
            <w:top w:val="none" w:sz="0" w:space="0" w:color="auto"/>
            <w:left w:val="none" w:sz="0" w:space="0" w:color="auto"/>
            <w:bottom w:val="none" w:sz="0" w:space="0" w:color="auto"/>
            <w:right w:val="none" w:sz="0" w:space="0" w:color="auto"/>
          </w:divBdr>
        </w:div>
        <w:div w:id="1231500051">
          <w:marLeft w:val="0"/>
          <w:marRight w:val="0"/>
          <w:marTop w:val="0"/>
          <w:marBottom w:val="0"/>
          <w:divBdr>
            <w:top w:val="none" w:sz="0" w:space="0" w:color="auto"/>
            <w:left w:val="none" w:sz="0" w:space="0" w:color="auto"/>
            <w:bottom w:val="none" w:sz="0" w:space="0" w:color="auto"/>
            <w:right w:val="none" w:sz="0" w:space="0" w:color="auto"/>
          </w:divBdr>
        </w:div>
        <w:div w:id="1592664618">
          <w:marLeft w:val="0"/>
          <w:marRight w:val="0"/>
          <w:marTop w:val="0"/>
          <w:marBottom w:val="0"/>
          <w:divBdr>
            <w:top w:val="none" w:sz="0" w:space="0" w:color="auto"/>
            <w:left w:val="none" w:sz="0" w:space="0" w:color="auto"/>
            <w:bottom w:val="none" w:sz="0" w:space="0" w:color="auto"/>
            <w:right w:val="none" w:sz="0" w:space="0" w:color="auto"/>
          </w:divBdr>
        </w:div>
        <w:div w:id="1645426645">
          <w:marLeft w:val="0"/>
          <w:marRight w:val="0"/>
          <w:marTop w:val="0"/>
          <w:marBottom w:val="0"/>
          <w:divBdr>
            <w:top w:val="none" w:sz="0" w:space="0" w:color="auto"/>
            <w:left w:val="none" w:sz="0" w:space="0" w:color="auto"/>
            <w:bottom w:val="none" w:sz="0" w:space="0" w:color="auto"/>
            <w:right w:val="none" w:sz="0" w:space="0" w:color="auto"/>
          </w:divBdr>
        </w:div>
        <w:div w:id="1751846395">
          <w:marLeft w:val="0"/>
          <w:marRight w:val="0"/>
          <w:marTop w:val="0"/>
          <w:marBottom w:val="0"/>
          <w:divBdr>
            <w:top w:val="none" w:sz="0" w:space="0" w:color="auto"/>
            <w:left w:val="none" w:sz="0" w:space="0" w:color="auto"/>
            <w:bottom w:val="none" w:sz="0" w:space="0" w:color="auto"/>
            <w:right w:val="none" w:sz="0" w:space="0" w:color="auto"/>
          </w:divBdr>
        </w:div>
        <w:div w:id="1972900660">
          <w:marLeft w:val="0"/>
          <w:marRight w:val="0"/>
          <w:marTop w:val="0"/>
          <w:marBottom w:val="0"/>
          <w:divBdr>
            <w:top w:val="none" w:sz="0" w:space="0" w:color="auto"/>
            <w:left w:val="none" w:sz="0" w:space="0" w:color="auto"/>
            <w:bottom w:val="none" w:sz="0" w:space="0" w:color="auto"/>
            <w:right w:val="none" w:sz="0" w:space="0" w:color="auto"/>
          </w:divBdr>
        </w:div>
      </w:divsChild>
    </w:div>
    <w:div w:id="9576037">
      <w:bodyDiv w:val="1"/>
      <w:marLeft w:val="0"/>
      <w:marRight w:val="0"/>
      <w:marTop w:val="0"/>
      <w:marBottom w:val="0"/>
      <w:divBdr>
        <w:top w:val="none" w:sz="0" w:space="0" w:color="auto"/>
        <w:left w:val="none" w:sz="0" w:space="0" w:color="auto"/>
        <w:bottom w:val="none" w:sz="0" w:space="0" w:color="auto"/>
        <w:right w:val="none" w:sz="0" w:space="0" w:color="auto"/>
      </w:divBdr>
      <w:divsChild>
        <w:div w:id="33190947">
          <w:marLeft w:val="0"/>
          <w:marRight w:val="0"/>
          <w:marTop w:val="0"/>
          <w:marBottom w:val="0"/>
          <w:divBdr>
            <w:top w:val="none" w:sz="0" w:space="0" w:color="auto"/>
            <w:left w:val="none" w:sz="0" w:space="0" w:color="auto"/>
            <w:bottom w:val="none" w:sz="0" w:space="0" w:color="auto"/>
            <w:right w:val="none" w:sz="0" w:space="0" w:color="auto"/>
          </w:divBdr>
        </w:div>
        <w:div w:id="172888048">
          <w:marLeft w:val="0"/>
          <w:marRight w:val="0"/>
          <w:marTop w:val="0"/>
          <w:marBottom w:val="0"/>
          <w:divBdr>
            <w:top w:val="none" w:sz="0" w:space="0" w:color="auto"/>
            <w:left w:val="none" w:sz="0" w:space="0" w:color="auto"/>
            <w:bottom w:val="none" w:sz="0" w:space="0" w:color="auto"/>
            <w:right w:val="none" w:sz="0" w:space="0" w:color="auto"/>
          </w:divBdr>
        </w:div>
        <w:div w:id="375394253">
          <w:marLeft w:val="0"/>
          <w:marRight w:val="0"/>
          <w:marTop w:val="0"/>
          <w:marBottom w:val="0"/>
          <w:divBdr>
            <w:top w:val="none" w:sz="0" w:space="0" w:color="auto"/>
            <w:left w:val="none" w:sz="0" w:space="0" w:color="auto"/>
            <w:bottom w:val="none" w:sz="0" w:space="0" w:color="auto"/>
            <w:right w:val="none" w:sz="0" w:space="0" w:color="auto"/>
          </w:divBdr>
        </w:div>
        <w:div w:id="454763012">
          <w:marLeft w:val="0"/>
          <w:marRight w:val="0"/>
          <w:marTop w:val="0"/>
          <w:marBottom w:val="0"/>
          <w:divBdr>
            <w:top w:val="none" w:sz="0" w:space="0" w:color="auto"/>
            <w:left w:val="none" w:sz="0" w:space="0" w:color="auto"/>
            <w:bottom w:val="none" w:sz="0" w:space="0" w:color="auto"/>
            <w:right w:val="none" w:sz="0" w:space="0" w:color="auto"/>
          </w:divBdr>
        </w:div>
        <w:div w:id="769931139">
          <w:marLeft w:val="0"/>
          <w:marRight w:val="0"/>
          <w:marTop w:val="0"/>
          <w:marBottom w:val="0"/>
          <w:divBdr>
            <w:top w:val="none" w:sz="0" w:space="0" w:color="auto"/>
            <w:left w:val="none" w:sz="0" w:space="0" w:color="auto"/>
            <w:bottom w:val="none" w:sz="0" w:space="0" w:color="auto"/>
            <w:right w:val="none" w:sz="0" w:space="0" w:color="auto"/>
          </w:divBdr>
        </w:div>
        <w:div w:id="865409391">
          <w:marLeft w:val="0"/>
          <w:marRight w:val="0"/>
          <w:marTop w:val="0"/>
          <w:marBottom w:val="0"/>
          <w:divBdr>
            <w:top w:val="none" w:sz="0" w:space="0" w:color="auto"/>
            <w:left w:val="none" w:sz="0" w:space="0" w:color="auto"/>
            <w:bottom w:val="none" w:sz="0" w:space="0" w:color="auto"/>
            <w:right w:val="none" w:sz="0" w:space="0" w:color="auto"/>
          </w:divBdr>
        </w:div>
        <w:div w:id="874195998">
          <w:marLeft w:val="0"/>
          <w:marRight w:val="0"/>
          <w:marTop w:val="0"/>
          <w:marBottom w:val="0"/>
          <w:divBdr>
            <w:top w:val="none" w:sz="0" w:space="0" w:color="auto"/>
            <w:left w:val="none" w:sz="0" w:space="0" w:color="auto"/>
            <w:bottom w:val="none" w:sz="0" w:space="0" w:color="auto"/>
            <w:right w:val="none" w:sz="0" w:space="0" w:color="auto"/>
          </w:divBdr>
        </w:div>
        <w:div w:id="1244215395">
          <w:marLeft w:val="0"/>
          <w:marRight w:val="0"/>
          <w:marTop w:val="0"/>
          <w:marBottom w:val="0"/>
          <w:divBdr>
            <w:top w:val="none" w:sz="0" w:space="0" w:color="auto"/>
            <w:left w:val="none" w:sz="0" w:space="0" w:color="auto"/>
            <w:bottom w:val="none" w:sz="0" w:space="0" w:color="auto"/>
            <w:right w:val="none" w:sz="0" w:space="0" w:color="auto"/>
          </w:divBdr>
        </w:div>
        <w:div w:id="1435127518">
          <w:marLeft w:val="0"/>
          <w:marRight w:val="0"/>
          <w:marTop w:val="0"/>
          <w:marBottom w:val="0"/>
          <w:divBdr>
            <w:top w:val="none" w:sz="0" w:space="0" w:color="auto"/>
            <w:left w:val="none" w:sz="0" w:space="0" w:color="auto"/>
            <w:bottom w:val="none" w:sz="0" w:space="0" w:color="auto"/>
            <w:right w:val="none" w:sz="0" w:space="0" w:color="auto"/>
          </w:divBdr>
        </w:div>
      </w:divsChild>
    </w:div>
    <w:div w:id="12189774">
      <w:bodyDiv w:val="1"/>
      <w:marLeft w:val="0"/>
      <w:marRight w:val="0"/>
      <w:marTop w:val="0"/>
      <w:marBottom w:val="0"/>
      <w:divBdr>
        <w:top w:val="none" w:sz="0" w:space="0" w:color="auto"/>
        <w:left w:val="none" w:sz="0" w:space="0" w:color="auto"/>
        <w:bottom w:val="none" w:sz="0" w:space="0" w:color="auto"/>
        <w:right w:val="none" w:sz="0" w:space="0" w:color="auto"/>
      </w:divBdr>
      <w:divsChild>
        <w:div w:id="2242977">
          <w:marLeft w:val="0"/>
          <w:marRight w:val="0"/>
          <w:marTop w:val="0"/>
          <w:marBottom w:val="0"/>
          <w:divBdr>
            <w:top w:val="none" w:sz="0" w:space="0" w:color="auto"/>
            <w:left w:val="none" w:sz="0" w:space="0" w:color="auto"/>
            <w:bottom w:val="none" w:sz="0" w:space="0" w:color="auto"/>
            <w:right w:val="none" w:sz="0" w:space="0" w:color="auto"/>
          </w:divBdr>
        </w:div>
        <w:div w:id="96681596">
          <w:marLeft w:val="0"/>
          <w:marRight w:val="0"/>
          <w:marTop w:val="0"/>
          <w:marBottom w:val="0"/>
          <w:divBdr>
            <w:top w:val="none" w:sz="0" w:space="0" w:color="auto"/>
            <w:left w:val="none" w:sz="0" w:space="0" w:color="auto"/>
            <w:bottom w:val="none" w:sz="0" w:space="0" w:color="auto"/>
            <w:right w:val="none" w:sz="0" w:space="0" w:color="auto"/>
          </w:divBdr>
        </w:div>
        <w:div w:id="366873404">
          <w:marLeft w:val="0"/>
          <w:marRight w:val="0"/>
          <w:marTop w:val="0"/>
          <w:marBottom w:val="0"/>
          <w:divBdr>
            <w:top w:val="none" w:sz="0" w:space="0" w:color="auto"/>
            <w:left w:val="none" w:sz="0" w:space="0" w:color="auto"/>
            <w:bottom w:val="none" w:sz="0" w:space="0" w:color="auto"/>
            <w:right w:val="none" w:sz="0" w:space="0" w:color="auto"/>
          </w:divBdr>
        </w:div>
        <w:div w:id="711148305">
          <w:marLeft w:val="0"/>
          <w:marRight w:val="0"/>
          <w:marTop w:val="0"/>
          <w:marBottom w:val="0"/>
          <w:divBdr>
            <w:top w:val="none" w:sz="0" w:space="0" w:color="auto"/>
            <w:left w:val="none" w:sz="0" w:space="0" w:color="auto"/>
            <w:bottom w:val="none" w:sz="0" w:space="0" w:color="auto"/>
            <w:right w:val="none" w:sz="0" w:space="0" w:color="auto"/>
          </w:divBdr>
        </w:div>
        <w:div w:id="737441479">
          <w:marLeft w:val="0"/>
          <w:marRight w:val="0"/>
          <w:marTop w:val="0"/>
          <w:marBottom w:val="0"/>
          <w:divBdr>
            <w:top w:val="none" w:sz="0" w:space="0" w:color="auto"/>
            <w:left w:val="none" w:sz="0" w:space="0" w:color="auto"/>
            <w:bottom w:val="none" w:sz="0" w:space="0" w:color="auto"/>
            <w:right w:val="none" w:sz="0" w:space="0" w:color="auto"/>
          </w:divBdr>
        </w:div>
        <w:div w:id="830829238">
          <w:marLeft w:val="0"/>
          <w:marRight w:val="0"/>
          <w:marTop w:val="0"/>
          <w:marBottom w:val="0"/>
          <w:divBdr>
            <w:top w:val="none" w:sz="0" w:space="0" w:color="auto"/>
            <w:left w:val="none" w:sz="0" w:space="0" w:color="auto"/>
            <w:bottom w:val="none" w:sz="0" w:space="0" w:color="auto"/>
            <w:right w:val="none" w:sz="0" w:space="0" w:color="auto"/>
          </w:divBdr>
        </w:div>
        <w:div w:id="1165171886">
          <w:marLeft w:val="0"/>
          <w:marRight w:val="0"/>
          <w:marTop w:val="0"/>
          <w:marBottom w:val="0"/>
          <w:divBdr>
            <w:top w:val="none" w:sz="0" w:space="0" w:color="auto"/>
            <w:left w:val="none" w:sz="0" w:space="0" w:color="auto"/>
            <w:bottom w:val="none" w:sz="0" w:space="0" w:color="auto"/>
            <w:right w:val="none" w:sz="0" w:space="0" w:color="auto"/>
          </w:divBdr>
        </w:div>
        <w:div w:id="1565874887">
          <w:marLeft w:val="0"/>
          <w:marRight w:val="0"/>
          <w:marTop w:val="0"/>
          <w:marBottom w:val="0"/>
          <w:divBdr>
            <w:top w:val="none" w:sz="0" w:space="0" w:color="auto"/>
            <w:left w:val="none" w:sz="0" w:space="0" w:color="auto"/>
            <w:bottom w:val="none" w:sz="0" w:space="0" w:color="auto"/>
            <w:right w:val="none" w:sz="0" w:space="0" w:color="auto"/>
          </w:divBdr>
        </w:div>
        <w:div w:id="1682395760">
          <w:marLeft w:val="0"/>
          <w:marRight w:val="0"/>
          <w:marTop w:val="0"/>
          <w:marBottom w:val="0"/>
          <w:divBdr>
            <w:top w:val="none" w:sz="0" w:space="0" w:color="auto"/>
            <w:left w:val="none" w:sz="0" w:space="0" w:color="auto"/>
            <w:bottom w:val="none" w:sz="0" w:space="0" w:color="auto"/>
            <w:right w:val="none" w:sz="0" w:space="0" w:color="auto"/>
          </w:divBdr>
        </w:div>
        <w:div w:id="1711026074">
          <w:marLeft w:val="0"/>
          <w:marRight w:val="0"/>
          <w:marTop w:val="0"/>
          <w:marBottom w:val="0"/>
          <w:divBdr>
            <w:top w:val="none" w:sz="0" w:space="0" w:color="auto"/>
            <w:left w:val="none" w:sz="0" w:space="0" w:color="auto"/>
            <w:bottom w:val="none" w:sz="0" w:space="0" w:color="auto"/>
            <w:right w:val="none" w:sz="0" w:space="0" w:color="auto"/>
          </w:divBdr>
        </w:div>
      </w:divsChild>
    </w:div>
    <w:div w:id="18431368">
      <w:bodyDiv w:val="1"/>
      <w:marLeft w:val="0"/>
      <w:marRight w:val="0"/>
      <w:marTop w:val="0"/>
      <w:marBottom w:val="0"/>
      <w:divBdr>
        <w:top w:val="none" w:sz="0" w:space="0" w:color="auto"/>
        <w:left w:val="none" w:sz="0" w:space="0" w:color="auto"/>
        <w:bottom w:val="none" w:sz="0" w:space="0" w:color="auto"/>
        <w:right w:val="none" w:sz="0" w:space="0" w:color="auto"/>
      </w:divBdr>
      <w:divsChild>
        <w:div w:id="581135759">
          <w:marLeft w:val="0"/>
          <w:marRight w:val="0"/>
          <w:marTop w:val="0"/>
          <w:marBottom w:val="0"/>
          <w:divBdr>
            <w:top w:val="none" w:sz="0" w:space="0" w:color="auto"/>
            <w:left w:val="none" w:sz="0" w:space="0" w:color="auto"/>
            <w:bottom w:val="none" w:sz="0" w:space="0" w:color="auto"/>
            <w:right w:val="none" w:sz="0" w:space="0" w:color="auto"/>
          </w:divBdr>
        </w:div>
        <w:div w:id="725490640">
          <w:marLeft w:val="0"/>
          <w:marRight w:val="0"/>
          <w:marTop w:val="0"/>
          <w:marBottom w:val="0"/>
          <w:divBdr>
            <w:top w:val="none" w:sz="0" w:space="0" w:color="auto"/>
            <w:left w:val="none" w:sz="0" w:space="0" w:color="auto"/>
            <w:bottom w:val="none" w:sz="0" w:space="0" w:color="auto"/>
            <w:right w:val="none" w:sz="0" w:space="0" w:color="auto"/>
          </w:divBdr>
        </w:div>
        <w:div w:id="752359411">
          <w:marLeft w:val="0"/>
          <w:marRight w:val="0"/>
          <w:marTop w:val="0"/>
          <w:marBottom w:val="0"/>
          <w:divBdr>
            <w:top w:val="none" w:sz="0" w:space="0" w:color="auto"/>
            <w:left w:val="none" w:sz="0" w:space="0" w:color="auto"/>
            <w:bottom w:val="none" w:sz="0" w:space="0" w:color="auto"/>
            <w:right w:val="none" w:sz="0" w:space="0" w:color="auto"/>
          </w:divBdr>
        </w:div>
        <w:div w:id="771362027">
          <w:marLeft w:val="0"/>
          <w:marRight w:val="0"/>
          <w:marTop w:val="0"/>
          <w:marBottom w:val="0"/>
          <w:divBdr>
            <w:top w:val="none" w:sz="0" w:space="0" w:color="auto"/>
            <w:left w:val="none" w:sz="0" w:space="0" w:color="auto"/>
            <w:bottom w:val="none" w:sz="0" w:space="0" w:color="auto"/>
            <w:right w:val="none" w:sz="0" w:space="0" w:color="auto"/>
          </w:divBdr>
        </w:div>
        <w:div w:id="928655728">
          <w:marLeft w:val="0"/>
          <w:marRight w:val="0"/>
          <w:marTop w:val="0"/>
          <w:marBottom w:val="0"/>
          <w:divBdr>
            <w:top w:val="none" w:sz="0" w:space="0" w:color="auto"/>
            <w:left w:val="none" w:sz="0" w:space="0" w:color="auto"/>
            <w:bottom w:val="none" w:sz="0" w:space="0" w:color="auto"/>
            <w:right w:val="none" w:sz="0" w:space="0" w:color="auto"/>
          </w:divBdr>
        </w:div>
        <w:div w:id="931550254">
          <w:marLeft w:val="0"/>
          <w:marRight w:val="0"/>
          <w:marTop w:val="0"/>
          <w:marBottom w:val="0"/>
          <w:divBdr>
            <w:top w:val="none" w:sz="0" w:space="0" w:color="auto"/>
            <w:left w:val="none" w:sz="0" w:space="0" w:color="auto"/>
            <w:bottom w:val="none" w:sz="0" w:space="0" w:color="auto"/>
            <w:right w:val="none" w:sz="0" w:space="0" w:color="auto"/>
          </w:divBdr>
        </w:div>
        <w:div w:id="1262909829">
          <w:marLeft w:val="0"/>
          <w:marRight w:val="0"/>
          <w:marTop w:val="0"/>
          <w:marBottom w:val="0"/>
          <w:divBdr>
            <w:top w:val="none" w:sz="0" w:space="0" w:color="auto"/>
            <w:left w:val="none" w:sz="0" w:space="0" w:color="auto"/>
            <w:bottom w:val="none" w:sz="0" w:space="0" w:color="auto"/>
            <w:right w:val="none" w:sz="0" w:space="0" w:color="auto"/>
          </w:divBdr>
        </w:div>
        <w:div w:id="2045131017">
          <w:marLeft w:val="0"/>
          <w:marRight w:val="0"/>
          <w:marTop w:val="0"/>
          <w:marBottom w:val="0"/>
          <w:divBdr>
            <w:top w:val="none" w:sz="0" w:space="0" w:color="auto"/>
            <w:left w:val="none" w:sz="0" w:space="0" w:color="auto"/>
            <w:bottom w:val="none" w:sz="0" w:space="0" w:color="auto"/>
            <w:right w:val="none" w:sz="0" w:space="0" w:color="auto"/>
          </w:divBdr>
        </w:div>
        <w:div w:id="2103985281">
          <w:marLeft w:val="0"/>
          <w:marRight w:val="0"/>
          <w:marTop w:val="0"/>
          <w:marBottom w:val="0"/>
          <w:divBdr>
            <w:top w:val="none" w:sz="0" w:space="0" w:color="auto"/>
            <w:left w:val="none" w:sz="0" w:space="0" w:color="auto"/>
            <w:bottom w:val="none" w:sz="0" w:space="0" w:color="auto"/>
            <w:right w:val="none" w:sz="0" w:space="0" w:color="auto"/>
          </w:divBdr>
        </w:div>
      </w:divsChild>
    </w:div>
    <w:div w:id="86927448">
      <w:bodyDiv w:val="1"/>
      <w:marLeft w:val="0"/>
      <w:marRight w:val="0"/>
      <w:marTop w:val="0"/>
      <w:marBottom w:val="0"/>
      <w:divBdr>
        <w:top w:val="none" w:sz="0" w:space="0" w:color="auto"/>
        <w:left w:val="none" w:sz="0" w:space="0" w:color="auto"/>
        <w:bottom w:val="none" w:sz="0" w:space="0" w:color="auto"/>
        <w:right w:val="none" w:sz="0" w:space="0" w:color="auto"/>
      </w:divBdr>
      <w:divsChild>
        <w:div w:id="494224331">
          <w:marLeft w:val="0"/>
          <w:marRight w:val="0"/>
          <w:marTop w:val="0"/>
          <w:marBottom w:val="0"/>
          <w:divBdr>
            <w:top w:val="none" w:sz="0" w:space="0" w:color="auto"/>
            <w:left w:val="none" w:sz="0" w:space="0" w:color="auto"/>
            <w:bottom w:val="none" w:sz="0" w:space="0" w:color="auto"/>
            <w:right w:val="none" w:sz="0" w:space="0" w:color="auto"/>
          </w:divBdr>
        </w:div>
        <w:div w:id="584145741">
          <w:marLeft w:val="0"/>
          <w:marRight w:val="0"/>
          <w:marTop w:val="0"/>
          <w:marBottom w:val="0"/>
          <w:divBdr>
            <w:top w:val="none" w:sz="0" w:space="0" w:color="auto"/>
            <w:left w:val="none" w:sz="0" w:space="0" w:color="auto"/>
            <w:bottom w:val="none" w:sz="0" w:space="0" w:color="auto"/>
            <w:right w:val="none" w:sz="0" w:space="0" w:color="auto"/>
          </w:divBdr>
          <w:divsChild>
            <w:div w:id="57481598">
              <w:marLeft w:val="0"/>
              <w:marRight w:val="0"/>
              <w:marTop w:val="0"/>
              <w:marBottom w:val="0"/>
              <w:divBdr>
                <w:top w:val="none" w:sz="0" w:space="0" w:color="auto"/>
                <w:left w:val="none" w:sz="0" w:space="0" w:color="auto"/>
                <w:bottom w:val="none" w:sz="0" w:space="0" w:color="auto"/>
                <w:right w:val="none" w:sz="0" w:space="0" w:color="auto"/>
              </w:divBdr>
            </w:div>
            <w:div w:id="231937366">
              <w:marLeft w:val="0"/>
              <w:marRight w:val="0"/>
              <w:marTop w:val="0"/>
              <w:marBottom w:val="0"/>
              <w:divBdr>
                <w:top w:val="none" w:sz="0" w:space="0" w:color="auto"/>
                <w:left w:val="none" w:sz="0" w:space="0" w:color="auto"/>
                <w:bottom w:val="none" w:sz="0" w:space="0" w:color="auto"/>
                <w:right w:val="none" w:sz="0" w:space="0" w:color="auto"/>
              </w:divBdr>
            </w:div>
            <w:div w:id="501167355">
              <w:marLeft w:val="0"/>
              <w:marRight w:val="0"/>
              <w:marTop w:val="0"/>
              <w:marBottom w:val="0"/>
              <w:divBdr>
                <w:top w:val="none" w:sz="0" w:space="0" w:color="auto"/>
                <w:left w:val="none" w:sz="0" w:space="0" w:color="auto"/>
                <w:bottom w:val="none" w:sz="0" w:space="0" w:color="auto"/>
                <w:right w:val="none" w:sz="0" w:space="0" w:color="auto"/>
              </w:divBdr>
            </w:div>
            <w:div w:id="963193906">
              <w:marLeft w:val="0"/>
              <w:marRight w:val="0"/>
              <w:marTop w:val="0"/>
              <w:marBottom w:val="0"/>
              <w:divBdr>
                <w:top w:val="none" w:sz="0" w:space="0" w:color="auto"/>
                <w:left w:val="none" w:sz="0" w:space="0" w:color="auto"/>
                <w:bottom w:val="none" w:sz="0" w:space="0" w:color="auto"/>
                <w:right w:val="none" w:sz="0" w:space="0" w:color="auto"/>
              </w:divBdr>
            </w:div>
            <w:div w:id="1422486511">
              <w:marLeft w:val="0"/>
              <w:marRight w:val="0"/>
              <w:marTop w:val="0"/>
              <w:marBottom w:val="0"/>
              <w:divBdr>
                <w:top w:val="none" w:sz="0" w:space="0" w:color="auto"/>
                <w:left w:val="none" w:sz="0" w:space="0" w:color="auto"/>
                <w:bottom w:val="none" w:sz="0" w:space="0" w:color="auto"/>
                <w:right w:val="none" w:sz="0" w:space="0" w:color="auto"/>
              </w:divBdr>
            </w:div>
          </w:divsChild>
        </w:div>
        <w:div w:id="597836773">
          <w:marLeft w:val="0"/>
          <w:marRight w:val="0"/>
          <w:marTop w:val="0"/>
          <w:marBottom w:val="0"/>
          <w:divBdr>
            <w:top w:val="none" w:sz="0" w:space="0" w:color="auto"/>
            <w:left w:val="none" w:sz="0" w:space="0" w:color="auto"/>
            <w:bottom w:val="none" w:sz="0" w:space="0" w:color="auto"/>
            <w:right w:val="none" w:sz="0" w:space="0" w:color="auto"/>
          </w:divBdr>
        </w:div>
        <w:div w:id="900210170">
          <w:marLeft w:val="0"/>
          <w:marRight w:val="0"/>
          <w:marTop w:val="0"/>
          <w:marBottom w:val="0"/>
          <w:divBdr>
            <w:top w:val="none" w:sz="0" w:space="0" w:color="auto"/>
            <w:left w:val="none" w:sz="0" w:space="0" w:color="auto"/>
            <w:bottom w:val="none" w:sz="0" w:space="0" w:color="auto"/>
            <w:right w:val="none" w:sz="0" w:space="0" w:color="auto"/>
          </w:divBdr>
        </w:div>
        <w:div w:id="1245070121">
          <w:marLeft w:val="0"/>
          <w:marRight w:val="0"/>
          <w:marTop w:val="0"/>
          <w:marBottom w:val="0"/>
          <w:divBdr>
            <w:top w:val="none" w:sz="0" w:space="0" w:color="auto"/>
            <w:left w:val="none" w:sz="0" w:space="0" w:color="auto"/>
            <w:bottom w:val="none" w:sz="0" w:space="0" w:color="auto"/>
            <w:right w:val="none" w:sz="0" w:space="0" w:color="auto"/>
          </w:divBdr>
          <w:divsChild>
            <w:div w:id="1017002925">
              <w:marLeft w:val="0"/>
              <w:marRight w:val="0"/>
              <w:marTop w:val="0"/>
              <w:marBottom w:val="0"/>
              <w:divBdr>
                <w:top w:val="none" w:sz="0" w:space="0" w:color="auto"/>
                <w:left w:val="none" w:sz="0" w:space="0" w:color="auto"/>
                <w:bottom w:val="none" w:sz="0" w:space="0" w:color="auto"/>
                <w:right w:val="none" w:sz="0" w:space="0" w:color="auto"/>
              </w:divBdr>
            </w:div>
            <w:div w:id="1576628490">
              <w:marLeft w:val="0"/>
              <w:marRight w:val="0"/>
              <w:marTop w:val="0"/>
              <w:marBottom w:val="0"/>
              <w:divBdr>
                <w:top w:val="none" w:sz="0" w:space="0" w:color="auto"/>
                <w:left w:val="none" w:sz="0" w:space="0" w:color="auto"/>
                <w:bottom w:val="none" w:sz="0" w:space="0" w:color="auto"/>
                <w:right w:val="none" w:sz="0" w:space="0" w:color="auto"/>
              </w:divBdr>
            </w:div>
            <w:div w:id="1827015849">
              <w:marLeft w:val="0"/>
              <w:marRight w:val="0"/>
              <w:marTop w:val="0"/>
              <w:marBottom w:val="0"/>
              <w:divBdr>
                <w:top w:val="none" w:sz="0" w:space="0" w:color="auto"/>
                <w:left w:val="none" w:sz="0" w:space="0" w:color="auto"/>
                <w:bottom w:val="none" w:sz="0" w:space="0" w:color="auto"/>
                <w:right w:val="none" w:sz="0" w:space="0" w:color="auto"/>
              </w:divBdr>
            </w:div>
            <w:div w:id="2026395327">
              <w:marLeft w:val="0"/>
              <w:marRight w:val="0"/>
              <w:marTop w:val="0"/>
              <w:marBottom w:val="0"/>
              <w:divBdr>
                <w:top w:val="none" w:sz="0" w:space="0" w:color="auto"/>
                <w:left w:val="none" w:sz="0" w:space="0" w:color="auto"/>
                <w:bottom w:val="none" w:sz="0" w:space="0" w:color="auto"/>
                <w:right w:val="none" w:sz="0" w:space="0" w:color="auto"/>
              </w:divBdr>
            </w:div>
            <w:div w:id="2051611811">
              <w:marLeft w:val="0"/>
              <w:marRight w:val="0"/>
              <w:marTop w:val="0"/>
              <w:marBottom w:val="0"/>
              <w:divBdr>
                <w:top w:val="none" w:sz="0" w:space="0" w:color="auto"/>
                <w:left w:val="none" w:sz="0" w:space="0" w:color="auto"/>
                <w:bottom w:val="none" w:sz="0" w:space="0" w:color="auto"/>
                <w:right w:val="none" w:sz="0" w:space="0" w:color="auto"/>
              </w:divBdr>
            </w:div>
          </w:divsChild>
        </w:div>
        <w:div w:id="1305355076">
          <w:marLeft w:val="0"/>
          <w:marRight w:val="0"/>
          <w:marTop w:val="0"/>
          <w:marBottom w:val="0"/>
          <w:divBdr>
            <w:top w:val="none" w:sz="0" w:space="0" w:color="auto"/>
            <w:left w:val="none" w:sz="0" w:space="0" w:color="auto"/>
            <w:bottom w:val="none" w:sz="0" w:space="0" w:color="auto"/>
            <w:right w:val="none" w:sz="0" w:space="0" w:color="auto"/>
          </w:divBdr>
        </w:div>
        <w:div w:id="1408646552">
          <w:marLeft w:val="0"/>
          <w:marRight w:val="0"/>
          <w:marTop w:val="0"/>
          <w:marBottom w:val="0"/>
          <w:divBdr>
            <w:top w:val="none" w:sz="0" w:space="0" w:color="auto"/>
            <w:left w:val="none" w:sz="0" w:space="0" w:color="auto"/>
            <w:bottom w:val="none" w:sz="0" w:space="0" w:color="auto"/>
            <w:right w:val="none" w:sz="0" w:space="0" w:color="auto"/>
          </w:divBdr>
        </w:div>
        <w:div w:id="1457480185">
          <w:marLeft w:val="0"/>
          <w:marRight w:val="0"/>
          <w:marTop w:val="0"/>
          <w:marBottom w:val="0"/>
          <w:divBdr>
            <w:top w:val="none" w:sz="0" w:space="0" w:color="auto"/>
            <w:left w:val="none" w:sz="0" w:space="0" w:color="auto"/>
            <w:bottom w:val="none" w:sz="0" w:space="0" w:color="auto"/>
            <w:right w:val="none" w:sz="0" w:space="0" w:color="auto"/>
          </w:divBdr>
          <w:divsChild>
            <w:div w:id="347760521">
              <w:marLeft w:val="0"/>
              <w:marRight w:val="0"/>
              <w:marTop w:val="0"/>
              <w:marBottom w:val="0"/>
              <w:divBdr>
                <w:top w:val="none" w:sz="0" w:space="0" w:color="auto"/>
                <w:left w:val="none" w:sz="0" w:space="0" w:color="auto"/>
                <w:bottom w:val="none" w:sz="0" w:space="0" w:color="auto"/>
                <w:right w:val="none" w:sz="0" w:space="0" w:color="auto"/>
              </w:divBdr>
            </w:div>
            <w:div w:id="377897510">
              <w:marLeft w:val="0"/>
              <w:marRight w:val="0"/>
              <w:marTop w:val="0"/>
              <w:marBottom w:val="0"/>
              <w:divBdr>
                <w:top w:val="none" w:sz="0" w:space="0" w:color="auto"/>
                <w:left w:val="none" w:sz="0" w:space="0" w:color="auto"/>
                <w:bottom w:val="none" w:sz="0" w:space="0" w:color="auto"/>
                <w:right w:val="none" w:sz="0" w:space="0" w:color="auto"/>
              </w:divBdr>
            </w:div>
            <w:div w:id="1756584316">
              <w:marLeft w:val="0"/>
              <w:marRight w:val="0"/>
              <w:marTop w:val="0"/>
              <w:marBottom w:val="0"/>
              <w:divBdr>
                <w:top w:val="none" w:sz="0" w:space="0" w:color="auto"/>
                <w:left w:val="none" w:sz="0" w:space="0" w:color="auto"/>
                <w:bottom w:val="none" w:sz="0" w:space="0" w:color="auto"/>
                <w:right w:val="none" w:sz="0" w:space="0" w:color="auto"/>
              </w:divBdr>
            </w:div>
            <w:div w:id="1850833857">
              <w:marLeft w:val="0"/>
              <w:marRight w:val="0"/>
              <w:marTop w:val="0"/>
              <w:marBottom w:val="0"/>
              <w:divBdr>
                <w:top w:val="none" w:sz="0" w:space="0" w:color="auto"/>
                <w:left w:val="none" w:sz="0" w:space="0" w:color="auto"/>
                <w:bottom w:val="none" w:sz="0" w:space="0" w:color="auto"/>
                <w:right w:val="none" w:sz="0" w:space="0" w:color="auto"/>
              </w:divBdr>
            </w:div>
            <w:div w:id="1975522915">
              <w:marLeft w:val="0"/>
              <w:marRight w:val="0"/>
              <w:marTop w:val="0"/>
              <w:marBottom w:val="0"/>
              <w:divBdr>
                <w:top w:val="none" w:sz="0" w:space="0" w:color="auto"/>
                <w:left w:val="none" w:sz="0" w:space="0" w:color="auto"/>
                <w:bottom w:val="none" w:sz="0" w:space="0" w:color="auto"/>
                <w:right w:val="none" w:sz="0" w:space="0" w:color="auto"/>
              </w:divBdr>
            </w:div>
          </w:divsChild>
        </w:div>
        <w:div w:id="1613391274">
          <w:marLeft w:val="0"/>
          <w:marRight w:val="0"/>
          <w:marTop w:val="0"/>
          <w:marBottom w:val="0"/>
          <w:divBdr>
            <w:top w:val="none" w:sz="0" w:space="0" w:color="auto"/>
            <w:left w:val="none" w:sz="0" w:space="0" w:color="auto"/>
            <w:bottom w:val="none" w:sz="0" w:space="0" w:color="auto"/>
            <w:right w:val="none" w:sz="0" w:space="0" w:color="auto"/>
          </w:divBdr>
        </w:div>
      </w:divsChild>
    </w:div>
    <w:div w:id="96754437">
      <w:bodyDiv w:val="1"/>
      <w:marLeft w:val="0"/>
      <w:marRight w:val="0"/>
      <w:marTop w:val="0"/>
      <w:marBottom w:val="0"/>
      <w:divBdr>
        <w:top w:val="none" w:sz="0" w:space="0" w:color="auto"/>
        <w:left w:val="none" w:sz="0" w:space="0" w:color="auto"/>
        <w:bottom w:val="none" w:sz="0" w:space="0" w:color="auto"/>
        <w:right w:val="none" w:sz="0" w:space="0" w:color="auto"/>
      </w:divBdr>
    </w:div>
    <w:div w:id="108862886">
      <w:bodyDiv w:val="1"/>
      <w:marLeft w:val="0"/>
      <w:marRight w:val="0"/>
      <w:marTop w:val="0"/>
      <w:marBottom w:val="0"/>
      <w:divBdr>
        <w:top w:val="none" w:sz="0" w:space="0" w:color="auto"/>
        <w:left w:val="none" w:sz="0" w:space="0" w:color="auto"/>
        <w:bottom w:val="none" w:sz="0" w:space="0" w:color="auto"/>
        <w:right w:val="none" w:sz="0" w:space="0" w:color="auto"/>
      </w:divBdr>
      <w:divsChild>
        <w:div w:id="392776359">
          <w:marLeft w:val="0"/>
          <w:marRight w:val="0"/>
          <w:marTop w:val="0"/>
          <w:marBottom w:val="0"/>
          <w:divBdr>
            <w:top w:val="none" w:sz="0" w:space="0" w:color="auto"/>
            <w:left w:val="none" w:sz="0" w:space="0" w:color="auto"/>
            <w:bottom w:val="none" w:sz="0" w:space="0" w:color="auto"/>
            <w:right w:val="none" w:sz="0" w:space="0" w:color="auto"/>
          </w:divBdr>
        </w:div>
        <w:div w:id="1592622885">
          <w:marLeft w:val="0"/>
          <w:marRight w:val="0"/>
          <w:marTop w:val="0"/>
          <w:marBottom w:val="0"/>
          <w:divBdr>
            <w:top w:val="none" w:sz="0" w:space="0" w:color="auto"/>
            <w:left w:val="none" w:sz="0" w:space="0" w:color="auto"/>
            <w:bottom w:val="none" w:sz="0" w:space="0" w:color="auto"/>
            <w:right w:val="none" w:sz="0" w:space="0" w:color="auto"/>
          </w:divBdr>
          <w:divsChild>
            <w:div w:id="231089164">
              <w:marLeft w:val="0"/>
              <w:marRight w:val="0"/>
              <w:marTop w:val="0"/>
              <w:marBottom w:val="0"/>
              <w:divBdr>
                <w:top w:val="none" w:sz="0" w:space="0" w:color="auto"/>
                <w:left w:val="none" w:sz="0" w:space="0" w:color="auto"/>
                <w:bottom w:val="none" w:sz="0" w:space="0" w:color="auto"/>
                <w:right w:val="none" w:sz="0" w:space="0" w:color="auto"/>
              </w:divBdr>
            </w:div>
            <w:div w:id="859855687">
              <w:marLeft w:val="0"/>
              <w:marRight w:val="0"/>
              <w:marTop w:val="0"/>
              <w:marBottom w:val="0"/>
              <w:divBdr>
                <w:top w:val="none" w:sz="0" w:space="0" w:color="auto"/>
                <w:left w:val="none" w:sz="0" w:space="0" w:color="auto"/>
                <w:bottom w:val="none" w:sz="0" w:space="0" w:color="auto"/>
                <w:right w:val="none" w:sz="0" w:space="0" w:color="auto"/>
              </w:divBdr>
            </w:div>
            <w:div w:id="1215045258">
              <w:marLeft w:val="0"/>
              <w:marRight w:val="0"/>
              <w:marTop w:val="0"/>
              <w:marBottom w:val="0"/>
              <w:divBdr>
                <w:top w:val="none" w:sz="0" w:space="0" w:color="auto"/>
                <w:left w:val="none" w:sz="0" w:space="0" w:color="auto"/>
                <w:bottom w:val="none" w:sz="0" w:space="0" w:color="auto"/>
                <w:right w:val="none" w:sz="0" w:space="0" w:color="auto"/>
              </w:divBdr>
            </w:div>
            <w:div w:id="2104835742">
              <w:marLeft w:val="0"/>
              <w:marRight w:val="0"/>
              <w:marTop w:val="0"/>
              <w:marBottom w:val="0"/>
              <w:divBdr>
                <w:top w:val="none" w:sz="0" w:space="0" w:color="auto"/>
                <w:left w:val="none" w:sz="0" w:space="0" w:color="auto"/>
                <w:bottom w:val="none" w:sz="0" w:space="0" w:color="auto"/>
                <w:right w:val="none" w:sz="0" w:space="0" w:color="auto"/>
              </w:divBdr>
            </w:div>
          </w:divsChild>
        </w:div>
        <w:div w:id="1763647998">
          <w:marLeft w:val="0"/>
          <w:marRight w:val="0"/>
          <w:marTop w:val="0"/>
          <w:marBottom w:val="0"/>
          <w:divBdr>
            <w:top w:val="none" w:sz="0" w:space="0" w:color="auto"/>
            <w:left w:val="none" w:sz="0" w:space="0" w:color="auto"/>
            <w:bottom w:val="none" w:sz="0" w:space="0" w:color="auto"/>
            <w:right w:val="none" w:sz="0" w:space="0" w:color="auto"/>
          </w:divBdr>
          <w:divsChild>
            <w:div w:id="1160000675">
              <w:marLeft w:val="0"/>
              <w:marRight w:val="0"/>
              <w:marTop w:val="0"/>
              <w:marBottom w:val="0"/>
              <w:divBdr>
                <w:top w:val="none" w:sz="0" w:space="0" w:color="auto"/>
                <w:left w:val="none" w:sz="0" w:space="0" w:color="auto"/>
                <w:bottom w:val="none" w:sz="0" w:space="0" w:color="auto"/>
                <w:right w:val="none" w:sz="0" w:space="0" w:color="auto"/>
              </w:divBdr>
            </w:div>
            <w:div w:id="1700163051">
              <w:marLeft w:val="0"/>
              <w:marRight w:val="0"/>
              <w:marTop w:val="0"/>
              <w:marBottom w:val="0"/>
              <w:divBdr>
                <w:top w:val="none" w:sz="0" w:space="0" w:color="auto"/>
                <w:left w:val="none" w:sz="0" w:space="0" w:color="auto"/>
                <w:bottom w:val="none" w:sz="0" w:space="0" w:color="auto"/>
                <w:right w:val="none" w:sz="0" w:space="0" w:color="auto"/>
              </w:divBdr>
            </w:div>
            <w:div w:id="1899389935">
              <w:marLeft w:val="0"/>
              <w:marRight w:val="0"/>
              <w:marTop w:val="0"/>
              <w:marBottom w:val="0"/>
              <w:divBdr>
                <w:top w:val="none" w:sz="0" w:space="0" w:color="auto"/>
                <w:left w:val="none" w:sz="0" w:space="0" w:color="auto"/>
                <w:bottom w:val="none" w:sz="0" w:space="0" w:color="auto"/>
                <w:right w:val="none" w:sz="0" w:space="0" w:color="auto"/>
              </w:divBdr>
            </w:div>
            <w:div w:id="1936280915">
              <w:marLeft w:val="0"/>
              <w:marRight w:val="0"/>
              <w:marTop w:val="0"/>
              <w:marBottom w:val="0"/>
              <w:divBdr>
                <w:top w:val="none" w:sz="0" w:space="0" w:color="auto"/>
                <w:left w:val="none" w:sz="0" w:space="0" w:color="auto"/>
                <w:bottom w:val="none" w:sz="0" w:space="0" w:color="auto"/>
                <w:right w:val="none" w:sz="0" w:space="0" w:color="auto"/>
              </w:divBdr>
            </w:div>
            <w:div w:id="196557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6866">
      <w:bodyDiv w:val="1"/>
      <w:marLeft w:val="0"/>
      <w:marRight w:val="0"/>
      <w:marTop w:val="0"/>
      <w:marBottom w:val="0"/>
      <w:divBdr>
        <w:top w:val="none" w:sz="0" w:space="0" w:color="auto"/>
        <w:left w:val="none" w:sz="0" w:space="0" w:color="auto"/>
        <w:bottom w:val="none" w:sz="0" w:space="0" w:color="auto"/>
        <w:right w:val="none" w:sz="0" w:space="0" w:color="auto"/>
      </w:divBdr>
      <w:divsChild>
        <w:div w:id="241259565">
          <w:marLeft w:val="0"/>
          <w:marRight w:val="0"/>
          <w:marTop w:val="0"/>
          <w:marBottom w:val="0"/>
          <w:divBdr>
            <w:top w:val="none" w:sz="0" w:space="0" w:color="auto"/>
            <w:left w:val="none" w:sz="0" w:space="0" w:color="auto"/>
            <w:bottom w:val="none" w:sz="0" w:space="0" w:color="auto"/>
            <w:right w:val="none" w:sz="0" w:space="0" w:color="auto"/>
          </w:divBdr>
          <w:divsChild>
            <w:div w:id="762922376">
              <w:marLeft w:val="0"/>
              <w:marRight w:val="0"/>
              <w:marTop w:val="0"/>
              <w:marBottom w:val="0"/>
              <w:divBdr>
                <w:top w:val="none" w:sz="0" w:space="0" w:color="auto"/>
                <w:left w:val="none" w:sz="0" w:space="0" w:color="auto"/>
                <w:bottom w:val="none" w:sz="0" w:space="0" w:color="auto"/>
                <w:right w:val="none" w:sz="0" w:space="0" w:color="auto"/>
              </w:divBdr>
            </w:div>
            <w:div w:id="1472164383">
              <w:marLeft w:val="0"/>
              <w:marRight w:val="0"/>
              <w:marTop w:val="0"/>
              <w:marBottom w:val="0"/>
              <w:divBdr>
                <w:top w:val="none" w:sz="0" w:space="0" w:color="auto"/>
                <w:left w:val="none" w:sz="0" w:space="0" w:color="auto"/>
                <w:bottom w:val="none" w:sz="0" w:space="0" w:color="auto"/>
                <w:right w:val="none" w:sz="0" w:space="0" w:color="auto"/>
              </w:divBdr>
            </w:div>
          </w:divsChild>
        </w:div>
        <w:div w:id="2086024746">
          <w:marLeft w:val="0"/>
          <w:marRight w:val="0"/>
          <w:marTop w:val="0"/>
          <w:marBottom w:val="0"/>
          <w:divBdr>
            <w:top w:val="none" w:sz="0" w:space="0" w:color="auto"/>
            <w:left w:val="none" w:sz="0" w:space="0" w:color="auto"/>
            <w:bottom w:val="none" w:sz="0" w:space="0" w:color="auto"/>
            <w:right w:val="none" w:sz="0" w:space="0" w:color="auto"/>
          </w:divBdr>
          <w:divsChild>
            <w:div w:id="1058893394">
              <w:marLeft w:val="0"/>
              <w:marRight w:val="0"/>
              <w:marTop w:val="0"/>
              <w:marBottom w:val="0"/>
              <w:divBdr>
                <w:top w:val="none" w:sz="0" w:space="0" w:color="auto"/>
                <w:left w:val="none" w:sz="0" w:space="0" w:color="auto"/>
                <w:bottom w:val="none" w:sz="0" w:space="0" w:color="auto"/>
                <w:right w:val="none" w:sz="0" w:space="0" w:color="auto"/>
              </w:divBdr>
            </w:div>
            <w:div w:id="1071192361">
              <w:marLeft w:val="0"/>
              <w:marRight w:val="0"/>
              <w:marTop w:val="0"/>
              <w:marBottom w:val="0"/>
              <w:divBdr>
                <w:top w:val="none" w:sz="0" w:space="0" w:color="auto"/>
                <w:left w:val="none" w:sz="0" w:space="0" w:color="auto"/>
                <w:bottom w:val="none" w:sz="0" w:space="0" w:color="auto"/>
                <w:right w:val="none" w:sz="0" w:space="0" w:color="auto"/>
              </w:divBdr>
            </w:div>
            <w:div w:id="1515849902">
              <w:marLeft w:val="0"/>
              <w:marRight w:val="0"/>
              <w:marTop w:val="0"/>
              <w:marBottom w:val="0"/>
              <w:divBdr>
                <w:top w:val="none" w:sz="0" w:space="0" w:color="auto"/>
                <w:left w:val="none" w:sz="0" w:space="0" w:color="auto"/>
                <w:bottom w:val="none" w:sz="0" w:space="0" w:color="auto"/>
                <w:right w:val="none" w:sz="0" w:space="0" w:color="auto"/>
              </w:divBdr>
            </w:div>
            <w:div w:id="1931234739">
              <w:marLeft w:val="0"/>
              <w:marRight w:val="0"/>
              <w:marTop w:val="0"/>
              <w:marBottom w:val="0"/>
              <w:divBdr>
                <w:top w:val="none" w:sz="0" w:space="0" w:color="auto"/>
                <w:left w:val="none" w:sz="0" w:space="0" w:color="auto"/>
                <w:bottom w:val="none" w:sz="0" w:space="0" w:color="auto"/>
                <w:right w:val="none" w:sz="0" w:space="0" w:color="auto"/>
              </w:divBdr>
            </w:div>
            <w:div w:id="205869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805">
      <w:bodyDiv w:val="1"/>
      <w:marLeft w:val="0"/>
      <w:marRight w:val="0"/>
      <w:marTop w:val="0"/>
      <w:marBottom w:val="0"/>
      <w:divBdr>
        <w:top w:val="none" w:sz="0" w:space="0" w:color="auto"/>
        <w:left w:val="none" w:sz="0" w:space="0" w:color="auto"/>
        <w:bottom w:val="none" w:sz="0" w:space="0" w:color="auto"/>
        <w:right w:val="none" w:sz="0" w:space="0" w:color="auto"/>
      </w:divBdr>
      <w:divsChild>
        <w:div w:id="109858595">
          <w:marLeft w:val="0"/>
          <w:marRight w:val="0"/>
          <w:marTop w:val="0"/>
          <w:marBottom w:val="0"/>
          <w:divBdr>
            <w:top w:val="none" w:sz="0" w:space="0" w:color="auto"/>
            <w:left w:val="none" w:sz="0" w:space="0" w:color="auto"/>
            <w:bottom w:val="none" w:sz="0" w:space="0" w:color="auto"/>
            <w:right w:val="none" w:sz="0" w:space="0" w:color="auto"/>
          </w:divBdr>
        </w:div>
        <w:div w:id="265843557">
          <w:marLeft w:val="0"/>
          <w:marRight w:val="0"/>
          <w:marTop w:val="0"/>
          <w:marBottom w:val="0"/>
          <w:divBdr>
            <w:top w:val="none" w:sz="0" w:space="0" w:color="auto"/>
            <w:left w:val="none" w:sz="0" w:space="0" w:color="auto"/>
            <w:bottom w:val="none" w:sz="0" w:space="0" w:color="auto"/>
            <w:right w:val="none" w:sz="0" w:space="0" w:color="auto"/>
          </w:divBdr>
        </w:div>
        <w:div w:id="285501797">
          <w:marLeft w:val="0"/>
          <w:marRight w:val="0"/>
          <w:marTop w:val="0"/>
          <w:marBottom w:val="0"/>
          <w:divBdr>
            <w:top w:val="none" w:sz="0" w:space="0" w:color="auto"/>
            <w:left w:val="none" w:sz="0" w:space="0" w:color="auto"/>
            <w:bottom w:val="none" w:sz="0" w:space="0" w:color="auto"/>
            <w:right w:val="none" w:sz="0" w:space="0" w:color="auto"/>
          </w:divBdr>
        </w:div>
        <w:div w:id="524830135">
          <w:marLeft w:val="0"/>
          <w:marRight w:val="0"/>
          <w:marTop w:val="0"/>
          <w:marBottom w:val="0"/>
          <w:divBdr>
            <w:top w:val="none" w:sz="0" w:space="0" w:color="auto"/>
            <w:left w:val="none" w:sz="0" w:space="0" w:color="auto"/>
            <w:bottom w:val="none" w:sz="0" w:space="0" w:color="auto"/>
            <w:right w:val="none" w:sz="0" w:space="0" w:color="auto"/>
          </w:divBdr>
        </w:div>
        <w:div w:id="535461106">
          <w:marLeft w:val="0"/>
          <w:marRight w:val="0"/>
          <w:marTop w:val="0"/>
          <w:marBottom w:val="0"/>
          <w:divBdr>
            <w:top w:val="none" w:sz="0" w:space="0" w:color="auto"/>
            <w:left w:val="none" w:sz="0" w:space="0" w:color="auto"/>
            <w:bottom w:val="none" w:sz="0" w:space="0" w:color="auto"/>
            <w:right w:val="none" w:sz="0" w:space="0" w:color="auto"/>
          </w:divBdr>
        </w:div>
        <w:div w:id="549923109">
          <w:marLeft w:val="0"/>
          <w:marRight w:val="0"/>
          <w:marTop w:val="0"/>
          <w:marBottom w:val="0"/>
          <w:divBdr>
            <w:top w:val="none" w:sz="0" w:space="0" w:color="auto"/>
            <w:left w:val="none" w:sz="0" w:space="0" w:color="auto"/>
            <w:bottom w:val="none" w:sz="0" w:space="0" w:color="auto"/>
            <w:right w:val="none" w:sz="0" w:space="0" w:color="auto"/>
          </w:divBdr>
        </w:div>
        <w:div w:id="996766942">
          <w:marLeft w:val="0"/>
          <w:marRight w:val="0"/>
          <w:marTop w:val="0"/>
          <w:marBottom w:val="0"/>
          <w:divBdr>
            <w:top w:val="none" w:sz="0" w:space="0" w:color="auto"/>
            <w:left w:val="none" w:sz="0" w:space="0" w:color="auto"/>
            <w:bottom w:val="none" w:sz="0" w:space="0" w:color="auto"/>
            <w:right w:val="none" w:sz="0" w:space="0" w:color="auto"/>
          </w:divBdr>
        </w:div>
        <w:div w:id="1271015100">
          <w:marLeft w:val="0"/>
          <w:marRight w:val="0"/>
          <w:marTop w:val="0"/>
          <w:marBottom w:val="0"/>
          <w:divBdr>
            <w:top w:val="none" w:sz="0" w:space="0" w:color="auto"/>
            <w:left w:val="none" w:sz="0" w:space="0" w:color="auto"/>
            <w:bottom w:val="none" w:sz="0" w:space="0" w:color="auto"/>
            <w:right w:val="none" w:sz="0" w:space="0" w:color="auto"/>
          </w:divBdr>
        </w:div>
        <w:div w:id="1705134944">
          <w:marLeft w:val="0"/>
          <w:marRight w:val="0"/>
          <w:marTop w:val="0"/>
          <w:marBottom w:val="0"/>
          <w:divBdr>
            <w:top w:val="none" w:sz="0" w:space="0" w:color="auto"/>
            <w:left w:val="none" w:sz="0" w:space="0" w:color="auto"/>
            <w:bottom w:val="none" w:sz="0" w:space="0" w:color="auto"/>
            <w:right w:val="none" w:sz="0" w:space="0" w:color="auto"/>
          </w:divBdr>
        </w:div>
      </w:divsChild>
    </w:div>
    <w:div w:id="137888372">
      <w:bodyDiv w:val="1"/>
      <w:marLeft w:val="0"/>
      <w:marRight w:val="0"/>
      <w:marTop w:val="0"/>
      <w:marBottom w:val="0"/>
      <w:divBdr>
        <w:top w:val="none" w:sz="0" w:space="0" w:color="auto"/>
        <w:left w:val="none" w:sz="0" w:space="0" w:color="auto"/>
        <w:bottom w:val="none" w:sz="0" w:space="0" w:color="auto"/>
        <w:right w:val="none" w:sz="0" w:space="0" w:color="auto"/>
      </w:divBdr>
      <w:divsChild>
        <w:div w:id="116065326">
          <w:marLeft w:val="0"/>
          <w:marRight w:val="0"/>
          <w:marTop w:val="0"/>
          <w:marBottom w:val="0"/>
          <w:divBdr>
            <w:top w:val="none" w:sz="0" w:space="0" w:color="auto"/>
            <w:left w:val="none" w:sz="0" w:space="0" w:color="auto"/>
            <w:bottom w:val="none" w:sz="0" w:space="0" w:color="auto"/>
            <w:right w:val="none" w:sz="0" w:space="0" w:color="auto"/>
          </w:divBdr>
        </w:div>
        <w:div w:id="257298567">
          <w:marLeft w:val="0"/>
          <w:marRight w:val="0"/>
          <w:marTop w:val="0"/>
          <w:marBottom w:val="0"/>
          <w:divBdr>
            <w:top w:val="none" w:sz="0" w:space="0" w:color="auto"/>
            <w:left w:val="none" w:sz="0" w:space="0" w:color="auto"/>
            <w:bottom w:val="none" w:sz="0" w:space="0" w:color="auto"/>
            <w:right w:val="none" w:sz="0" w:space="0" w:color="auto"/>
          </w:divBdr>
        </w:div>
        <w:div w:id="324166843">
          <w:marLeft w:val="0"/>
          <w:marRight w:val="0"/>
          <w:marTop w:val="0"/>
          <w:marBottom w:val="0"/>
          <w:divBdr>
            <w:top w:val="none" w:sz="0" w:space="0" w:color="auto"/>
            <w:left w:val="none" w:sz="0" w:space="0" w:color="auto"/>
            <w:bottom w:val="none" w:sz="0" w:space="0" w:color="auto"/>
            <w:right w:val="none" w:sz="0" w:space="0" w:color="auto"/>
          </w:divBdr>
        </w:div>
        <w:div w:id="630938752">
          <w:marLeft w:val="0"/>
          <w:marRight w:val="0"/>
          <w:marTop w:val="0"/>
          <w:marBottom w:val="0"/>
          <w:divBdr>
            <w:top w:val="none" w:sz="0" w:space="0" w:color="auto"/>
            <w:left w:val="none" w:sz="0" w:space="0" w:color="auto"/>
            <w:bottom w:val="none" w:sz="0" w:space="0" w:color="auto"/>
            <w:right w:val="none" w:sz="0" w:space="0" w:color="auto"/>
          </w:divBdr>
        </w:div>
        <w:div w:id="858815208">
          <w:marLeft w:val="0"/>
          <w:marRight w:val="0"/>
          <w:marTop w:val="0"/>
          <w:marBottom w:val="0"/>
          <w:divBdr>
            <w:top w:val="none" w:sz="0" w:space="0" w:color="auto"/>
            <w:left w:val="none" w:sz="0" w:space="0" w:color="auto"/>
            <w:bottom w:val="none" w:sz="0" w:space="0" w:color="auto"/>
            <w:right w:val="none" w:sz="0" w:space="0" w:color="auto"/>
          </w:divBdr>
        </w:div>
        <w:div w:id="1433548454">
          <w:marLeft w:val="0"/>
          <w:marRight w:val="0"/>
          <w:marTop w:val="0"/>
          <w:marBottom w:val="0"/>
          <w:divBdr>
            <w:top w:val="none" w:sz="0" w:space="0" w:color="auto"/>
            <w:left w:val="none" w:sz="0" w:space="0" w:color="auto"/>
            <w:bottom w:val="none" w:sz="0" w:space="0" w:color="auto"/>
            <w:right w:val="none" w:sz="0" w:space="0" w:color="auto"/>
          </w:divBdr>
        </w:div>
        <w:div w:id="1653296104">
          <w:marLeft w:val="0"/>
          <w:marRight w:val="0"/>
          <w:marTop w:val="0"/>
          <w:marBottom w:val="0"/>
          <w:divBdr>
            <w:top w:val="none" w:sz="0" w:space="0" w:color="auto"/>
            <w:left w:val="none" w:sz="0" w:space="0" w:color="auto"/>
            <w:bottom w:val="none" w:sz="0" w:space="0" w:color="auto"/>
            <w:right w:val="none" w:sz="0" w:space="0" w:color="auto"/>
          </w:divBdr>
        </w:div>
      </w:divsChild>
    </w:div>
    <w:div w:id="145977925">
      <w:bodyDiv w:val="1"/>
      <w:marLeft w:val="0"/>
      <w:marRight w:val="0"/>
      <w:marTop w:val="0"/>
      <w:marBottom w:val="0"/>
      <w:divBdr>
        <w:top w:val="none" w:sz="0" w:space="0" w:color="auto"/>
        <w:left w:val="none" w:sz="0" w:space="0" w:color="auto"/>
        <w:bottom w:val="none" w:sz="0" w:space="0" w:color="auto"/>
        <w:right w:val="none" w:sz="0" w:space="0" w:color="auto"/>
      </w:divBdr>
      <w:divsChild>
        <w:div w:id="314915145">
          <w:marLeft w:val="0"/>
          <w:marRight w:val="0"/>
          <w:marTop w:val="0"/>
          <w:marBottom w:val="0"/>
          <w:divBdr>
            <w:top w:val="none" w:sz="0" w:space="0" w:color="auto"/>
            <w:left w:val="none" w:sz="0" w:space="0" w:color="auto"/>
            <w:bottom w:val="none" w:sz="0" w:space="0" w:color="auto"/>
            <w:right w:val="none" w:sz="0" w:space="0" w:color="auto"/>
          </w:divBdr>
          <w:divsChild>
            <w:div w:id="232084604">
              <w:marLeft w:val="0"/>
              <w:marRight w:val="0"/>
              <w:marTop w:val="0"/>
              <w:marBottom w:val="0"/>
              <w:divBdr>
                <w:top w:val="none" w:sz="0" w:space="0" w:color="auto"/>
                <w:left w:val="none" w:sz="0" w:space="0" w:color="auto"/>
                <w:bottom w:val="none" w:sz="0" w:space="0" w:color="auto"/>
                <w:right w:val="none" w:sz="0" w:space="0" w:color="auto"/>
              </w:divBdr>
            </w:div>
            <w:div w:id="910505843">
              <w:marLeft w:val="0"/>
              <w:marRight w:val="0"/>
              <w:marTop w:val="0"/>
              <w:marBottom w:val="0"/>
              <w:divBdr>
                <w:top w:val="none" w:sz="0" w:space="0" w:color="auto"/>
                <w:left w:val="none" w:sz="0" w:space="0" w:color="auto"/>
                <w:bottom w:val="none" w:sz="0" w:space="0" w:color="auto"/>
                <w:right w:val="none" w:sz="0" w:space="0" w:color="auto"/>
              </w:divBdr>
            </w:div>
            <w:div w:id="1334142066">
              <w:marLeft w:val="0"/>
              <w:marRight w:val="0"/>
              <w:marTop w:val="0"/>
              <w:marBottom w:val="0"/>
              <w:divBdr>
                <w:top w:val="none" w:sz="0" w:space="0" w:color="auto"/>
                <w:left w:val="none" w:sz="0" w:space="0" w:color="auto"/>
                <w:bottom w:val="none" w:sz="0" w:space="0" w:color="auto"/>
                <w:right w:val="none" w:sz="0" w:space="0" w:color="auto"/>
              </w:divBdr>
            </w:div>
          </w:divsChild>
        </w:div>
        <w:div w:id="831068203">
          <w:marLeft w:val="0"/>
          <w:marRight w:val="0"/>
          <w:marTop w:val="0"/>
          <w:marBottom w:val="0"/>
          <w:divBdr>
            <w:top w:val="none" w:sz="0" w:space="0" w:color="auto"/>
            <w:left w:val="none" w:sz="0" w:space="0" w:color="auto"/>
            <w:bottom w:val="none" w:sz="0" w:space="0" w:color="auto"/>
            <w:right w:val="none" w:sz="0" w:space="0" w:color="auto"/>
          </w:divBdr>
        </w:div>
        <w:div w:id="1186794256">
          <w:marLeft w:val="0"/>
          <w:marRight w:val="0"/>
          <w:marTop w:val="0"/>
          <w:marBottom w:val="0"/>
          <w:divBdr>
            <w:top w:val="none" w:sz="0" w:space="0" w:color="auto"/>
            <w:left w:val="none" w:sz="0" w:space="0" w:color="auto"/>
            <w:bottom w:val="none" w:sz="0" w:space="0" w:color="auto"/>
            <w:right w:val="none" w:sz="0" w:space="0" w:color="auto"/>
          </w:divBdr>
          <w:divsChild>
            <w:div w:id="87308896">
              <w:marLeft w:val="0"/>
              <w:marRight w:val="0"/>
              <w:marTop w:val="0"/>
              <w:marBottom w:val="0"/>
              <w:divBdr>
                <w:top w:val="none" w:sz="0" w:space="0" w:color="auto"/>
                <w:left w:val="none" w:sz="0" w:space="0" w:color="auto"/>
                <w:bottom w:val="none" w:sz="0" w:space="0" w:color="auto"/>
                <w:right w:val="none" w:sz="0" w:space="0" w:color="auto"/>
              </w:divBdr>
            </w:div>
            <w:div w:id="210269406">
              <w:marLeft w:val="0"/>
              <w:marRight w:val="0"/>
              <w:marTop w:val="0"/>
              <w:marBottom w:val="0"/>
              <w:divBdr>
                <w:top w:val="none" w:sz="0" w:space="0" w:color="auto"/>
                <w:left w:val="none" w:sz="0" w:space="0" w:color="auto"/>
                <w:bottom w:val="none" w:sz="0" w:space="0" w:color="auto"/>
                <w:right w:val="none" w:sz="0" w:space="0" w:color="auto"/>
              </w:divBdr>
            </w:div>
            <w:div w:id="367488342">
              <w:marLeft w:val="0"/>
              <w:marRight w:val="0"/>
              <w:marTop w:val="0"/>
              <w:marBottom w:val="0"/>
              <w:divBdr>
                <w:top w:val="none" w:sz="0" w:space="0" w:color="auto"/>
                <w:left w:val="none" w:sz="0" w:space="0" w:color="auto"/>
                <w:bottom w:val="none" w:sz="0" w:space="0" w:color="auto"/>
                <w:right w:val="none" w:sz="0" w:space="0" w:color="auto"/>
              </w:divBdr>
            </w:div>
            <w:div w:id="1615671077">
              <w:marLeft w:val="0"/>
              <w:marRight w:val="0"/>
              <w:marTop w:val="0"/>
              <w:marBottom w:val="0"/>
              <w:divBdr>
                <w:top w:val="none" w:sz="0" w:space="0" w:color="auto"/>
                <w:left w:val="none" w:sz="0" w:space="0" w:color="auto"/>
                <w:bottom w:val="none" w:sz="0" w:space="0" w:color="auto"/>
                <w:right w:val="none" w:sz="0" w:space="0" w:color="auto"/>
              </w:divBdr>
            </w:div>
          </w:divsChild>
        </w:div>
        <w:div w:id="1250891720">
          <w:marLeft w:val="0"/>
          <w:marRight w:val="0"/>
          <w:marTop w:val="0"/>
          <w:marBottom w:val="0"/>
          <w:divBdr>
            <w:top w:val="none" w:sz="0" w:space="0" w:color="auto"/>
            <w:left w:val="none" w:sz="0" w:space="0" w:color="auto"/>
            <w:bottom w:val="none" w:sz="0" w:space="0" w:color="auto"/>
            <w:right w:val="none" w:sz="0" w:space="0" w:color="auto"/>
          </w:divBdr>
        </w:div>
        <w:div w:id="1389574818">
          <w:marLeft w:val="0"/>
          <w:marRight w:val="0"/>
          <w:marTop w:val="0"/>
          <w:marBottom w:val="0"/>
          <w:divBdr>
            <w:top w:val="none" w:sz="0" w:space="0" w:color="auto"/>
            <w:left w:val="none" w:sz="0" w:space="0" w:color="auto"/>
            <w:bottom w:val="none" w:sz="0" w:space="0" w:color="auto"/>
            <w:right w:val="none" w:sz="0" w:space="0" w:color="auto"/>
          </w:divBdr>
        </w:div>
        <w:div w:id="1813250609">
          <w:marLeft w:val="0"/>
          <w:marRight w:val="0"/>
          <w:marTop w:val="0"/>
          <w:marBottom w:val="0"/>
          <w:divBdr>
            <w:top w:val="none" w:sz="0" w:space="0" w:color="auto"/>
            <w:left w:val="none" w:sz="0" w:space="0" w:color="auto"/>
            <w:bottom w:val="none" w:sz="0" w:space="0" w:color="auto"/>
            <w:right w:val="none" w:sz="0" w:space="0" w:color="auto"/>
          </w:divBdr>
        </w:div>
      </w:divsChild>
    </w:div>
    <w:div w:id="185677559">
      <w:bodyDiv w:val="1"/>
      <w:marLeft w:val="0"/>
      <w:marRight w:val="0"/>
      <w:marTop w:val="0"/>
      <w:marBottom w:val="0"/>
      <w:divBdr>
        <w:top w:val="none" w:sz="0" w:space="0" w:color="auto"/>
        <w:left w:val="none" w:sz="0" w:space="0" w:color="auto"/>
        <w:bottom w:val="none" w:sz="0" w:space="0" w:color="auto"/>
        <w:right w:val="none" w:sz="0" w:space="0" w:color="auto"/>
      </w:divBdr>
      <w:divsChild>
        <w:div w:id="566764419">
          <w:marLeft w:val="0"/>
          <w:marRight w:val="0"/>
          <w:marTop w:val="0"/>
          <w:marBottom w:val="0"/>
          <w:divBdr>
            <w:top w:val="none" w:sz="0" w:space="0" w:color="auto"/>
            <w:left w:val="none" w:sz="0" w:space="0" w:color="auto"/>
            <w:bottom w:val="none" w:sz="0" w:space="0" w:color="auto"/>
            <w:right w:val="none" w:sz="0" w:space="0" w:color="auto"/>
          </w:divBdr>
        </w:div>
        <w:div w:id="794517584">
          <w:marLeft w:val="0"/>
          <w:marRight w:val="0"/>
          <w:marTop w:val="0"/>
          <w:marBottom w:val="0"/>
          <w:divBdr>
            <w:top w:val="none" w:sz="0" w:space="0" w:color="auto"/>
            <w:left w:val="none" w:sz="0" w:space="0" w:color="auto"/>
            <w:bottom w:val="none" w:sz="0" w:space="0" w:color="auto"/>
            <w:right w:val="none" w:sz="0" w:space="0" w:color="auto"/>
          </w:divBdr>
        </w:div>
        <w:div w:id="1518497674">
          <w:marLeft w:val="0"/>
          <w:marRight w:val="0"/>
          <w:marTop w:val="0"/>
          <w:marBottom w:val="0"/>
          <w:divBdr>
            <w:top w:val="none" w:sz="0" w:space="0" w:color="auto"/>
            <w:left w:val="none" w:sz="0" w:space="0" w:color="auto"/>
            <w:bottom w:val="none" w:sz="0" w:space="0" w:color="auto"/>
            <w:right w:val="none" w:sz="0" w:space="0" w:color="auto"/>
          </w:divBdr>
        </w:div>
        <w:div w:id="1727296844">
          <w:marLeft w:val="0"/>
          <w:marRight w:val="0"/>
          <w:marTop w:val="0"/>
          <w:marBottom w:val="0"/>
          <w:divBdr>
            <w:top w:val="none" w:sz="0" w:space="0" w:color="auto"/>
            <w:left w:val="none" w:sz="0" w:space="0" w:color="auto"/>
            <w:bottom w:val="none" w:sz="0" w:space="0" w:color="auto"/>
            <w:right w:val="none" w:sz="0" w:space="0" w:color="auto"/>
          </w:divBdr>
        </w:div>
        <w:div w:id="1745758691">
          <w:marLeft w:val="0"/>
          <w:marRight w:val="0"/>
          <w:marTop w:val="0"/>
          <w:marBottom w:val="0"/>
          <w:divBdr>
            <w:top w:val="none" w:sz="0" w:space="0" w:color="auto"/>
            <w:left w:val="none" w:sz="0" w:space="0" w:color="auto"/>
            <w:bottom w:val="none" w:sz="0" w:space="0" w:color="auto"/>
            <w:right w:val="none" w:sz="0" w:space="0" w:color="auto"/>
          </w:divBdr>
        </w:div>
        <w:div w:id="1831864257">
          <w:marLeft w:val="0"/>
          <w:marRight w:val="0"/>
          <w:marTop w:val="0"/>
          <w:marBottom w:val="0"/>
          <w:divBdr>
            <w:top w:val="none" w:sz="0" w:space="0" w:color="auto"/>
            <w:left w:val="none" w:sz="0" w:space="0" w:color="auto"/>
            <w:bottom w:val="none" w:sz="0" w:space="0" w:color="auto"/>
            <w:right w:val="none" w:sz="0" w:space="0" w:color="auto"/>
          </w:divBdr>
        </w:div>
        <w:div w:id="1889608002">
          <w:marLeft w:val="0"/>
          <w:marRight w:val="0"/>
          <w:marTop w:val="0"/>
          <w:marBottom w:val="0"/>
          <w:divBdr>
            <w:top w:val="none" w:sz="0" w:space="0" w:color="auto"/>
            <w:left w:val="none" w:sz="0" w:space="0" w:color="auto"/>
            <w:bottom w:val="none" w:sz="0" w:space="0" w:color="auto"/>
            <w:right w:val="none" w:sz="0" w:space="0" w:color="auto"/>
          </w:divBdr>
        </w:div>
        <w:div w:id="1890649020">
          <w:marLeft w:val="0"/>
          <w:marRight w:val="0"/>
          <w:marTop w:val="0"/>
          <w:marBottom w:val="0"/>
          <w:divBdr>
            <w:top w:val="none" w:sz="0" w:space="0" w:color="auto"/>
            <w:left w:val="none" w:sz="0" w:space="0" w:color="auto"/>
            <w:bottom w:val="none" w:sz="0" w:space="0" w:color="auto"/>
            <w:right w:val="none" w:sz="0" w:space="0" w:color="auto"/>
          </w:divBdr>
        </w:div>
        <w:div w:id="2140953529">
          <w:marLeft w:val="0"/>
          <w:marRight w:val="0"/>
          <w:marTop w:val="0"/>
          <w:marBottom w:val="0"/>
          <w:divBdr>
            <w:top w:val="none" w:sz="0" w:space="0" w:color="auto"/>
            <w:left w:val="none" w:sz="0" w:space="0" w:color="auto"/>
            <w:bottom w:val="none" w:sz="0" w:space="0" w:color="auto"/>
            <w:right w:val="none" w:sz="0" w:space="0" w:color="auto"/>
          </w:divBdr>
        </w:div>
      </w:divsChild>
    </w:div>
    <w:div w:id="189690200">
      <w:bodyDiv w:val="1"/>
      <w:marLeft w:val="0"/>
      <w:marRight w:val="0"/>
      <w:marTop w:val="0"/>
      <w:marBottom w:val="0"/>
      <w:divBdr>
        <w:top w:val="none" w:sz="0" w:space="0" w:color="auto"/>
        <w:left w:val="none" w:sz="0" w:space="0" w:color="auto"/>
        <w:bottom w:val="none" w:sz="0" w:space="0" w:color="auto"/>
        <w:right w:val="none" w:sz="0" w:space="0" w:color="auto"/>
      </w:divBdr>
      <w:divsChild>
        <w:div w:id="13727186">
          <w:marLeft w:val="0"/>
          <w:marRight w:val="0"/>
          <w:marTop w:val="0"/>
          <w:marBottom w:val="0"/>
          <w:divBdr>
            <w:top w:val="none" w:sz="0" w:space="0" w:color="auto"/>
            <w:left w:val="none" w:sz="0" w:space="0" w:color="auto"/>
            <w:bottom w:val="none" w:sz="0" w:space="0" w:color="auto"/>
            <w:right w:val="none" w:sz="0" w:space="0" w:color="auto"/>
          </w:divBdr>
        </w:div>
        <w:div w:id="307977512">
          <w:marLeft w:val="0"/>
          <w:marRight w:val="0"/>
          <w:marTop w:val="0"/>
          <w:marBottom w:val="0"/>
          <w:divBdr>
            <w:top w:val="none" w:sz="0" w:space="0" w:color="auto"/>
            <w:left w:val="none" w:sz="0" w:space="0" w:color="auto"/>
            <w:bottom w:val="none" w:sz="0" w:space="0" w:color="auto"/>
            <w:right w:val="none" w:sz="0" w:space="0" w:color="auto"/>
          </w:divBdr>
        </w:div>
        <w:div w:id="547179712">
          <w:marLeft w:val="0"/>
          <w:marRight w:val="0"/>
          <w:marTop w:val="0"/>
          <w:marBottom w:val="0"/>
          <w:divBdr>
            <w:top w:val="none" w:sz="0" w:space="0" w:color="auto"/>
            <w:left w:val="none" w:sz="0" w:space="0" w:color="auto"/>
            <w:bottom w:val="none" w:sz="0" w:space="0" w:color="auto"/>
            <w:right w:val="none" w:sz="0" w:space="0" w:color="auto"/>
          </w:divBdr>
        </w:div>
        <w:div w:id="863329129">
          <w:marLeft w:val="0"/>
          <w:marRight w:val="0"/>
          <w:marTop w:val="0"/>
          <w:marBottom w:val="0"/>
          <w:divBdr>
            <w:top w:val="none" w:sz="0" w:space="0" w:color="auto"/>
            <w:left w:val="none" w:sz="0" w:space="0" w:color="auto"/>
            <w:bottom w:val="none" w:sz="0" w:space="0" w:color="auto"/>
            <w:right w:val="none" w:sz="0" w:space="0" w:color="auto"/>
          </w:divBdr>
        </w:div>
        <w:div w:id="1780222523">
          <w:marLeft w:val="0"/>
          <w:marRight w:val="0"/>
          <w:marTop w:val="0"/>
          <w:marBottom w:val="0"/>
          <w:divBdr>
            <w:top w:val="none" w:sz="0" w:space="0" w:color="auto"/>
            <w:left w:val="none" w:sz="0" w:space="0" w:color="auto"/>
            <w:bottom w:val="none" w:sz="0" w:space="0" w:color="auto"/>
            <w:right w:val="none" w:sz="0" w:space="0" w:color="auto"/>
          </w:divBdr>
        </w:div>
        <w:div w:id="1858034858">
          <w:marLeft w:val="0"/>
          <w:marRight w:val="0"/>
          <w:marTop w:val="0"/>
          <w:marBottom w:val="0"/>
          <w:divBdr>
            <w:top w:val="none" w:sz="0" w:space="0" w:color="auto"/>
            <w:left w:val="none" w:sz="0" w:space="0" w:color="auto"/>
            <w:bottom w:val="none" w:sz="0" w:space="0" w:color="auto"/>
            <w:right w:val="none" w:sz="0" w:space="0" w:color="auto"/>
          </w:divBdr>
        </w:div>
        <w:div w:id="1860191241">
          <w:marLeft w:val="0"/>
          <w:marRight w:val="0"/>
          <w:marTop w:val="0"/>
          <w:marBottom w:val="0"/>
          <w:divBdr>
            <w:top w:val="none" w:sz="0" w:space="0" w:color="auto"/>
            <w:left w:val="none" w:sz="0" w:space="0" w:color="auto"/>
            <w:bottom w:val="none" w:sz="0" w:space="0" w:color="auto"/>
            <w:right w:val="none" w:sz="0" w:space="0" w:color="auto"/>
          </w:divBdr>
        </w:div>
        <w:div w:id="2002846590">
          <w:marLeft w:val="0"/>
          <w:marRight w:val="0"/>
          <w:marTop w:val="0"/>
          <w:marBottom w:val="0"/>
          <w:divBdr>
            <w:top w:val="none" w:sz="0" w:space="0" w:color="auto"/>
            <w:left w:val="none" w:sz="0" w:space="0" w:color="auto"/>
            <w:bottom w:val="none" w:sz="0" w:space="0" w:color="auto"/>
            <w:right w:val="none" w:sz="0" w:space="0" w:color="auto"/>
          </w:divBdr>
        </w:div>
        <w:div w:id="2066760239">
          <w:marLeft w:val="0"/>
          <w:marRight w:val="0"/>
          <w:marTop w:val="0"/>
          <w:marBottom w:val="0"/>
          <w:divBdr>
            <w:top w:val="none" w:sz="0" w:space="0" w:color="auto"/>
            <w:left w:val="none" w:sz="0" w:space="0" w:color="auto"/>
            <w:bottom w:val="none" w:sz="0" w:space="0" w:color="auto"/>
            <w:right w:val="none" w:sz="0" w:space="0" w:color="auto"/>
          </w:divBdr>
        </w:div>
      </w:divsChild>
    </w:div>
    <w:div w:id="204800852">
      <w:bodyDiv w:val="1"/>
      <w:marLeft w:val="0"/>
      <w:marRight w:val="0"/>
      <w:marTop w:val="0"/>
      <w:marBottom w:val="0"/>
      <w:divBdr>
        <w:top w:val="none" w:sz="0" w:space="0" w:color="auto"/>
        <w:left w:val="none" w:sz="0" w:space="0" w:color="auto"/>
        <w:bottom w:val="none" w:sz="0" w:space="0" w:color="auto"/>
        <w:right w:val="none" w:sz="0" w:space="0" w:color="auto"/>
      </w:divBdr>
      <w:divsChild>
        <w:div w:id="888497215">
          <w:marLeft w:val="0"/>
          <w:marRight w:val="0"/>
          <w:marTop w:val="0"/>
          <w:marBottom w:val="0"/>
          <w:divBdr>
            <w:top w:val="none" w:sz="0" w:space="0" w:color="auto"/>
            <w:left w:val="none" w:sz="0" w:space="0" w:color="auto"/>
            <w:bottom w:val="none" w:sz="0" w:space="0" w:color="auto"/>
            <w:right w:val="none" w:sz="0" w:space="0" w:color="auto"/>
          </w:divBdr>
        </w:div>
        <w:div w:id="1106005184">
          <w:marLeft w:val="0"/>
          <w:marRight w:val="0"/>
          <w:marTop w:val="0"/>
          <w:marBottom w:val="0"/>
          <w:divBdr>
            <w:top w:val="none" w:sz="0" w:space="0" w:color="auto"/>
            <w:left w:val="none" w:sz="0" w:space="0" w:color="auto"/>
            <w:bottom w:val="none" w:sz="0" w:space="0" w:color="auto"/>
            <w:right w:val="none" w:sz="0" w:space="0" w:color="auto"/>
          </w:divBdr>
        </w:div>
        <w:div w:id="1334604891">
          <w:marLeft w:val="0"/>
          <w:marRight w:val="0"/>
          <w:marTop w:val="0"/>
          <w:marBottom w:val="0"/>
          <w:divBdr>
            <w:top w:val="none" w:sz="0" w:space="0" w:color="auto"/>
            <w:left w:val="none" w:sz="0" w:space="0" w:color="auto"/>
            <w:bottom w:val="none" w:sz="0" w:space="0" w:color="auto"/>
            <w:right w:val="none" w:sz="0" w:space="0" w:color="auto"/>
          </w:divBdr>
        </w:div>
        <w:div w:id="1794400100">
          <w:marLeft w:val="0"/>
          <w:marRight w:val="0"/>
          <w:marTop w:val="0"/>
          <w:marBottom w:val="0"/>
          <w:divBdr>
            <w:top w:val="none" w:sz="0" w:space="0" w:color="auto"/>
            <w:left w:val="none" w:sz="0" w:space="0" w:color="auto"/>
            <w:bottom w:val="none" w:sz="0" w:space="0" w:color="auto"/>
            <w:right w:val="none" w:sz="0" w:space="0" w:color="auto"/>
          </w:divBdr>
        </w:div>
        <w:div w:id="1842813662">
          <w:marLeft w:val="0"/>
          <w:marRight w:val="0"/>
          <w:marTop w:val="0"/>
          <w:marBottom w:val="0"/>
          <w:divBdr>
            <w:top w:val="none" w:sz="0" w:space="0" w:color="auto"/>
            <w:left w:val="none" w:sz="0" w:space="0" w:color="auto"/>
            <w:bottom w:val="none" w:sz="0" w:space="0" w:color="auto"/>
            <w:right w:val="none" w:sz="0" w:space="0" w:color="auto"/>
          </w:divBdr>
        </w:div>
        <w:div w:id="2084600177">
          <w:marLeft w:val="0"/>
          <w:marRight w:val="0"/>
          <w:marTop w:val="0"/>
          <w:marBottom w:val="0"/>
          <w:divBdr>
            <w:top w:val="none" w:sz="0" w:space="0" w:color="auto"/>
            <w:left w:val="none" w:sz="0" w:space="0" w:color="auto"/>
            <w:bottom w:val="none" w:sz="0" w:space="0" w:color="auto"/>
            <w:right w:val="none" w:sz="0" w:space="0" w:color="auto"/>
          </w:divBdr>
        </w:div>
        <w:div w:id="2130314333">
          <w:marLeft w:val="0"/>
          <w:marRight w:val="0"/>
          <w:marTop w:val="0"/>
          <w:marBottom w:val="0"/>
          <w:divBdr>
            <w:top w:val="none" w:sz="0" w:space="0" w:color="auto"/>
            <w:left w:val="none" w:sz="0" w:space="0" w:color="auto"/>
            <w:bottom w:val="none" w:sz="0" w:space="0" w:color="auto"/>
            <w:right w:val="none" w:sz="0" w:space="0" w:color="auto"/>
          </w:divBdr>
        </w:div>
      </w:divsChild>
    </w:div>
    <w:div w:id="206068096">
      <w:bodyDiv w:val="1"/>
      <w:marLeft w:val="0"/>
      <w:marRight w:val="0"/>
      <w:marTop w:val="0"/>
      <w:marBottom w:val="0"/>
      <w:divBdr>
        <w:top w:val="none" w:sz="0" w:space="0" w:color="auto"/>
        <w:left w:val="none" w:sz="0" w:space="0" w:color="auto"/>
        <w:bottom w:val="none" w:sz="0" w:space="0" w:color="auto"/>
        <w:right w:val="none" w:sz="0" w:space="0" w:color="auto"/>
      </w:divBdr>
      <w:divsChild>
        <w:div w:id="493255696">
          <w:marLeft w:val="0"/>
          <w:marRight w:val="0"/>
          <w:marTop w:val="0"/>
          <w:marBottom w:val="0"/>
          <w:divBdr>
            <w:top w:val="none" w:sz="0" w:space="0" w:color="auto"/>
            <w:left w:val="none" w:sz="0" w:space="0" w:color="auto"/>
            <w:bottom w:val="none" w:sz="0" w:space="0" w:color="auto"/>
            <w:right w:val="none" w:sz="0" w:space="0" w:color="auto"/>
          </w:divBdr>
        </w:div>
        <w:div w:id="722488491">
          <w:marLeft w:val="0"/>
          <w:marRight w:val="0"/>
          <w:marTop w:val="0"/>
          <w:marBottom w:val="0"/>
          <w:divBdr>
            <w:top w:val="none" w:sz="0" w:space="0" w:color="auto"/>
            <w:left w:val="none" w:sz="0" w:space="0" w:color="auto"/>
            <w:bottom w:val="none" w:sz="0" w:space="0" w:color="auto"/>
            <w:right w:val="none" w:sz="0" w:space="0" w:color="auto"/>
          </w:divBdr>
        </w:div>
        <w:div w:id="864095697">
          <w:marLeft w:val="0"/>
          <w:marRight w:val="0"/>
          <w:marTop w:val="0"/>
          <w:marBottom w:val="0"/>
          <w:divBdr>
            <w:top w:val="none" w:sz="0" w:space="0" w:color="auto"/>
            <w:left w:val="none" w:sz="0" w:space="0" w:color="auto"/>
            <w:bottom w:val="none" w:sz="0" w:space="0" w:color="auto"/>
            <w:right w:val="none" w:sz="0" w:space="0" w:color="auto"/>
          </w:divBdr>
          <w:divsChild>
            <w:div w:id="4022248">
              <w:marLeft w:val="0"/>
              <w:marRight w:val="0"/>
              <w:marTop w:val="0"/>
              <w:marBottom w:val="0"/>
              <w:divBdr>
                <w:top w:val="none" w:sz="0" w:space="0" w:color="auto"/>
                <w:left w:val="none" w:sz="0" w:space="0" w:color="auto"/>
                <w:bottom w:val="none" w:sz="0" w:space="0" w:color="auto"/>
                <w:right w:val="none" w:sz="0" w:space="0" w:color="auto"/>
              </w:divBdr>
            </w:div>
            <w:div w:id="1218129644">
              <w:marLeft w:val="0"/>
              <w:marRight w:val="0"/>
              <w:marTop w:val="0"/>
              <w:marBottom w:val="0"/>
              <w:divBdr>
                <w:top w:val="none" w:sz="0" w:space="0" w:color="auto"/>
                <w:left w:val="none" w:sz="0" w:space="0" w:color="auto"/>
                <w:bottom w:val="none" w:sz="0" w:space="0" w:color="auto"/>
                <w:right w:val="none" w:sz="0" w:space="0" w:color="auto"/>
              </w:divBdr>
            </w:div>
            <w:div w:id="1656956046">
              <w:marLeft w:val="0"/>
              <w:marRight w:val="0"/>
              <w:marTop w:val="0"/>
              <w:marBottom w:val="0"/>
              <w:divBdr>
                <w:top w:val="none" w:sz="0" w:space="0" w:color="auto"/>
                <w:left w:val="none" w:sz="0" w:space="0" w:color="auto"/>
                <w:bottom w:val="none" w:sz="0" w:space="0" w:color="auto"/>
                <w:right w:val="none" w:sz="0" w:space="0" w:color="auto"/>
              </w:divBdr>
            </w:div>
          </w:divsChild>
        </w:div>
        <w:div w:id="1199053333">
          <w:marLeft w:val="0"/>
          <w:marRight w:val="0"/>
          <w:marTop w:val="0"/>
          <w:marBottom w:val="0"/>
          <w:divBdr>
            <w:top w:val="none" w:sz="0" w:space="0" w:color="auto"/>
            <w:left w:val="none" w:sz="0" w:space="0" w:color="auto"/>
            <w:bottom w:val="none" w:sz="0" w:space="0" w:color="auto"/>
            <w:right w:val="none" w:sz="0" w:space="0" w:color="auto"/>
          </w:divBdr>
        </w:div>
        <w:div w:id="1690452224">
          <w:marLeft w:val="0"/>
          <w:marRight w:val="0"/>
          <w:marTop w:val="0"/>
          <w:marBottom w:val="0"/>
          <w:divBdr>
            <w:top w:val="none" w:sz="0" w:space="0" w:color="auto"/>
            <w:left w:val="none" w:sz="0" w:space="0" w:color="auto"/>
            <w:bottom w:val="none" w:sz="0" w:space="0" w:color="auto"/>
            <w:right w:val="none" w:sz="0" w:space="0" w:color="auto"/>
          </w:divBdr>
        </w:div>
      </w:divsChild>
    </w:div>
    <w:div w:id="215439213">
      <w:bodyDiv w:val="1"/>
      <w:marLeft w:val="0"/>
      <w:marRight w:val="0"/>
      <w:marTop w:val="0"/>
      <w:marBottom w:val="0"/>
      <w:divBdr>
        <w:top w:val="none" w:sz="0" w:space="0" w:color="auto"/>
        <w:left w:val="none" w:sz="0" w:space="0" w:color="auto"/>
        <w:bottom w:val="none" w:sz="0" w:space="0" w:color="auto"/>
        <w:right w:val="none" w:sz="0" w:space="0" w:color="auto"/>
      </w:divBdr>
      <w:divsChild>
        <w:div w:id="533737174">
          <w:marLeft w:val="0"/>
          <w:marRight w:val="0"/>
          <w:marTop w:val="0"/>
          <w:marBottom w:val="0"/>
          <w:divBdr>
            <w:top w:val="none" w:sz="0" w:space="0" w:color="auto"/>
            <w:left w:val="none" w:sz="0" w:space="0" w:color="auto"/>
            <w:bottom w:val="none" w:sz="0" w:space="0" w:color="auto"/>
            <w:right w:val="none" w:sz="0" w:space="0" w:color="auto"/>
          </w:divBdr>
        </w:div>
        <w:div w:id="992828930">
          <w:marLeft w:val="0"/>
          <w:marRight w:val="0"/>
          <w:marTop w:val="0"/>
          <w:marBottom w:val="0"/>
          <w:divBdr>
            <w:top w:val="none" w:sz="0" w:space="0" w:color="auto"/>
            <w:left w:val="none" w:sz="0" w:space="0" w:color="auto"/>
            <w:bottom w:val="none" w:sz="0" w:space="0" w:color="auto"/>
            <w:right w:val="none" w:sz="0" w:space="0" w:color="auto"/>
          </w:divBdr>
        </w:div>
        <w:div w:id="1077164848">
          <w:marLeft w:val="0"/>
          <w:marRight w:val="0"/>
          <w:marTop w:val="0"/>
          <w:marBottom w:val="0"/>
          <w:divBdr>
            <w:top w:val="none" w:sz="0" w:space="0" w:color="auto"/>
            <w:left w:val="none" w:sz="0" w:space="0" w:color="auto"/>
            <w:bottom w:val="none" w:sz="0" w:space="0" w:color="auto"/>
            <w:right w:val="none" w:sz="0" w:space="0" w:color="auto"/>
          </w:divBdr>
        </w:div>
        <w:div w:id="1347101739">
          <w:marLeft w:val="0"/>
          <w:marRight w:val="0"/>
          <w:marTop w:val="0"/>
          <w:marBottom w:val="0"/>
          <w:divBdr>
            <w:top w:val="none" w:sz="0" w:space="0" w:color="auto"/>
            <w:left w:val="none" w:sz="0" w:space="0" w:color="auto"/>
            <w:bottom w:val="none" w:sz="0" w:space="0" w:color="auto"/>
            <w:right w:val="none" w:sz="0" w:space="0" w:color="auto"/>
          </w:divBdr>
        </w:div>
        <w:div w:id="2002074460">
          <w:marLeft w:val="0"/>
          <w:marRight w:val="0"/>
          <w:marTop w:val="0"/>
          <w:marBottom w:val="0"/>
          <w:divBdr>
            <w:top w:val="none" w:sz="0" w:space="0" w:color="auto"/>
            <w:left w:val="none" w:sz="0" w:space="0" w:color="auto"/>
            <w:bottom w:val="none" w:sz="0" w:space="0" w:color="auto"/>
            <w:right w:val="none" w:sz="0" w:space="0" w:color="auto"/>
          </w:divBdr>
        </w:div>
      </w:divsChild>
    </w:div>
    <w:div w:id="259293138">
      <w:bodyDiv w:val="1"/>
      <w:marLeft w:val="0"/>
      <w:marRight w:val="0"/>
      <w:marTop w:val="0"/>
      <w:marBottom w:val="0"/>
      <w:divBdr>
        <w:top w:val="none" w:sz="0" w:space="0" w:color="auto"/>
        <w:left w:val="none" w:sz="0" w:space="0" w:color="auto"/>
        <w:bottom w:val="none" w:sz="0" w:space="0" w:color="auto"/>
        <w:right w:val="none" w:sz="0" w:space="0" w:color="auto"/>
      </w:divBdr>
      <w:divsChild>
        <w:div w:id="265889518">
          <w:marLeft w:val="0"/>
          <w:marRight w:val="0"/>
          <w:marTop w:val="0"/>
          <w:marBottom w:val="0"/>
          <w:divBdr>
            <w:top w:val="none" w:sz="0" w:space="0" w:color="auto"/>
            <w:left w:val="none" w:sz="0" w:space="0" w:color="auto"/>
            <w:bottom w:val="none" w:sz="0" w:space="0" w:color="auto"/>
            <w:right w:val="none" w:sz="0" w:space="0" w:color="auto"/>
          </w:divBdr>
        </w:div>
        <w:div w:id="604072121">
          <w:marLeft w:val="0"/>
          <w:marRight w:val="0"/>
          <w:marTop w:val="0"/>
          <w:marBottom w:val="0"/>
          <w:divBdr>
            <w:top w:val="none" w:sz="0" w:space="0" w:color="auto"/>
            <w:left w:val="none" w:sz="0" w:space="0" w:color="auto"/>
            <w:bottom w:val="none" w:sz="0" w:space="0" w:color="auto"/>
            <w:right w:val="none" w:sz="0" w:space="0" w:color="auto"/>
          </w:divBdr>
        </w:div>
        <w:div w:id="785467076">
          <w:marLeft w:val="0"/>
          <w:marRight w:val="0"/>
          <w:marTop w:val="0"/>
          <w:marBottom w:val="0"/>
          <w:divBdr>
            <w:top w:val="none" w:sz="0" w:space="0" w:color="auto"/>
            <w:left w:val="none" w:sz="0" w:space="0" w:color="auto"/>
            <w:bottom w:val="none" w:sz="0" w:space="0" w:color="auto"/>
            <w:right w:val="none" w:sz="0" w:space="0" w:color="auto"/>
          </w:divBdr>
        </w:div>
        <w:div w:id="1492058416">
          <w:marLeft w:val="0"/>
          <w:marRight w:val="0"/>
          <w:marTop w:val="0"/>
          <w:marBottom w:val="0"/>
          <w:divBdr>
            <w:top w:val="none" w:sz="0" w:space="0" w:color="auto"/>
            <w:left w:val="none" w:sz="0" w:space="0" w:color="auto"/>
            <w:bottom w:val="none" w:sz="0" w:space="0" w:color="auto"/>
            <w:right w:val="none" w:sz="0" w:space="0" w:color="auto"/>
          </w:divBdr>
        </w:div>
        <w:div w:id="1586912166">
          <w:marLeft w:val="0"/>
          <w:marRight w:val="0"/>
          <w:marTop w:val="0"/>
          <w:marBottom w:val="0"/>
          <w:divBdr>
            <w:top w:val="none" w:sz="0" w:space="0" w:color="auto"/>
            <w:left w:val="none" w:sz="0" w:space="0" w:color="auto"/>
            <w:bottom w:val="none" w:sz="0" w:space="0" w:color="auto"/>
            <w:right w:val="none" w:sz="0" w:space="0" w:color="auto"/>
          </w:divBdr>
        </w:div>
        <w:div w:id="1860968063">
          <w:marLeft w:val="0"/>
          <w:marRight w:val="0"/>
          <w:marTop w:val="0"/>
          <w:marBottom w:val="0"/>
          <w:divBdr>
            <w:top w:val="none" w:sz="0" w:space="0" w:color="auto"/>
            <w:left w:val="none" w:sz="0" w:space="0" w:color="auto"/>
            <w:bottom w:val="none" w:sz="0" w:space="0" w:color="auto"/>
            <w:right w:val="none" w:sz="0" w:space="0" w:color="auto"/>
          </w:divBdr>
        </w:div>
        <w:div w:id="1862208059">
          <w:marLeft w:val="0"/>
          <w:marRight w:val="0"/>
          <w:marTop w:val="0"/>
          <w:marBottom w:val="0"/>
          <w:divBdr>
            <w:top w:val="none" w:sz="0" w:space="0" w:color="auto"/>
            <w:left w:val="none" w:sz="0" w:space="0" w:color="auto"/>
            <w:bottom w:val="none" w:sz="0" w:space="0" w:color="auto"/>
            <w:right w:val="none" w:sz="0" w:space="0" w:color="auto"/>
          </w:divBdr>
        </w:div>
        <w:div w:id="1955475612">
          <w:marLeft w:val="0"/>
          <w:marRight w:val="0"/>
          <w:marTop w:val="0"/>
          <w:marBottom w:val="0"/>
          <w:divBdr>
            <w:top w:val="none" w:sz="0" w:space="0" w:color="auto"/>
            <w:left w:val="none" w:sz="0" w:space="0" w:color="auto"/>
            <w:bottom w:val="none" w:sz="0" w:space="0" w:color="auto"/>
            <w:right w:val="none" w:sz="0" w:space="0" w:color="auto"/>
          </w:divBdr>
        </w:div>
      </w:divsChild>
    </w:div>
    <w:div w:id="260458077">
      <w:bodyDiv w:val="1"/>
      <w:marLeft w:val="0"/>
      <w:marRight w:val="0"/>
      <w:marTop w:val="0"/>
      <w:marBottom w:val="0"/>
      <w:divBdr>
        <w:top w:val="none" w:sz="0" w:space="0" w:color="auto"/>
        <w:left w:val="none" w:sz="0" w:space="0" w:color="auto"/>
        <w:bottom w:val="none" w:sz="0" w:space="0" w:color="auto"/>
        <w:right w:val="none" w:sz="0" w:space="0" w:color="auto"/>
      </w:divBdr>
      <w:divsChild>
        <w:div w:id="25956834">
          <w:marLeft w:val="0"/>
          <w:marRight w:val="0"/>
          <w:marTop w:val="0"/>
          <w:marBottom w:val="0"/>
          <w:divBdr>
            <w:top w:val="none" w:sz="0" w:space="0" w:color="auto"/>
            <w:left w:val="none" w:sz="0" w:space="0" w:color="auto"/>
            <w:bottom w:val="none" w:sz="0" w:space="0" w:color="auto"/>
            <w:right w:val="none" w:sz="0" w:space="0" w:color="auto"/>
          </w:divBdr>
        </w:div>
        <w:div w:id="614556487">
          <w:marLeft w:val="0"/>
          <w:marRight w:val="0"/>
          <w:marTop w:val="0"/>
          <w:marBottom w:val="0"/>
          <w:divBdr>
            <w:top w:val="none" w:sz="0" w:space="0" w:color="auto"/>
            <w:left w:val="none" w:sz="0" w:space="0" w:color="auto"/>
            <w:bottom w:val="none" w:sz="0" w:space="0" w:color="auto"/>
            <w:right w:val="none" w:sz="0" w:space="0" w:color="auto"/>
          </w:divBdr>
        </w:div>
        <w:div w:id="744838702">
          <w:marLeft w:val="0"/>
          <w:marRight w:val="0"/>
          <w:marTop w:val="0"/>
          <w:marBottom w:val="0"/>
          <w:divBdr>
            <w:top w:val="none" w:sz="0" w:space="0" w:color="auto"/>
            <w:left w:val="none" w:sz="0" w:space="0" w:color="auto"/>
            <w:bottom w:val="none" w:sz="0" w:space="0" w:color="auto"/>
            <w:right w:val="none" w:sz="0" w:space="0" w:color="auto"/>
          </w:divBdr>
        </w:div>
        <w:div w:id="763649137">
          <w:marLeft w:val="0"/>
          <w:marRight w:val="0"/>
          <w:marTop w:val="0"/>
          <w:marBottom w:val="0"/>
          <w:divBdr>
            <w:top w:val="none" w:sz="0" w:space="0" w:color="auto"/>
            <w:left w:val="none" w:sz="0" w:space="0" w:color="auto"/>
            <w:bottom w:val="none" w:sz="0" w:space="0" w:color="auto"/>
            <w:right w:val="none" w:sz="0" w:space="0" w:color="auto"/>
          </w:divBdr>
        </w:div>
        <w:div w:id="1376082289">
          <w:marLeft w:val="0"/>
          <w:marRight w:val="0"/>
          <w:marTop w:val="0"/>
          <w:marBottom w:val="0"/>
          <w:divBdr>
            <w:top w:val="none" w:sz="0" w:space="0" w:color="auto"/>
            <w:left w:val="none" w:sz="0" w:space="0" w:color="auto"/>
            <w:bottom w:val="none" w:sz="0" w:space="0" w:color="auto"/>
            <w:right w:val="none" w:sz="0" w:space="0" w:color="auto"/>
          </w:divBdr>
        </w:div>
        <w:div w:id="1467162698">
          <w:marLeft w:val="0"/>
          <w:marRight w:val="0"/>
          <w:marTop w:val="0"/>
          <w:marBottom w:val="0"/>
          <w:divBdr>
            <w:top w:val="none" w:sz="0" w:space="0" w:color="auto"/>
            <w:left w:val="none" w:sz="0" w:space="0" w:color="auto"/>
            <w:bottom w:val="none" w:sz="0" w:space="0" w:color="auto"/>
            <w:right w:val="none" w:sz="0" w:space="0" w:color="auto"/>
          </w:divBdr>
        </w:div>
        <w:div w:id="2014145423">
          <w:marLeft w:val="0"/>
          <w:marRight w:val="0"/>
          <w:marTop w:val="0"/>
          <w:marBottom w:val="0"/>
          <w:divBdr>
            <w:top w:val="none" w:sz="0" w:space="0" w:color="auto"/>
            <w:left w:val="none" w:sz="0" w:space="0" w:color="auto"/>
            <w:bottom w:val="none" w:sz="0" w:space="0" w:color="auto"/>
            <w:right w:val="none" w:sz="0" w:space="0" w:color="auto"/>
          </w:divBdr>
        </w:div>
      </w:divsChild>
    </w:div>
    <w:div w:id="275214929">
      <w:bodyDiv w:val="1"/>
      <w:marLeft w:val="0"/>
      <w:marRight w:val="0"/>
      <w:marTop w:val="0"/>
      <w:marBottom w:val="0"/>
      <w:divBdr>
        <w:top w:val="none" w:sz="0" w:space="0" w:color="auto"/>
        <w:left w:val="none" w:sz="0" w:space="0" w:color="auto"/>
        <w:bottom w:val="none" w:sz="0" w:space="0" w:color="auto"/>
        <w:right w:val="none" w:sz="0" w:space="0" w:color="auto"/>
      </w:divBdr>
      <w:divsChild>
        <w:div w:id="128745407">
          <w:marLeft w:val="0"/>
          <w:marRight w:val="0"/>
          <w:marTop w:val="0"/>
          <w:marBottom w:val="0"/>
          <w:divBdr>
            <w:top w:val="none" w:sz="0" w:space="0" w:color="auto"/>
            <w:left w:val="none" w:sz="0" w:space="0" w:color="auto"/>
            <w:bottom w:val="none" w:sz="0" w:space="0" w:color="auto"/>
            <w:right w:val="none" w:sz="0" w:space="0" w:color="auto"/>
          </w:divBdr>
        </w:div>
        <w:div w:id="206921058">
          <w:marLeft w:val="0"/>
          <w:marRight w:val="0"/>
          <w:marTop w:val="0"/>
          <w:marBottom w:val="0"/>
          <w:divBdr>
            <w:top w:val="none" w:sz="0" w:space="0" w:color="auto"/>
            <w:left w:val="none" w:sz="0" w:space="0" w:color="auto"/>
            <w:bottom w:val="none" w:sz="0" w:space="0" w:color="auto"/>
            <w:right w:val="none" w:sz="0" w:space="0" w:color="auto"/>
          </w:divBdr>
        </w:div>
        <w:div w:id="1153378252">
          <w:marLeft w:val="0"/>
          <w:marRight w:val="0"/>
          <w:marTop w:val="0"/>
          <w:marBottom w:val="0"/>
          <w:divBdr>
            <w:top w:val="none" w:sz="0" w:space="0" w:color="auto"/>
            <w:left w:val="none" w:sz="0" w:space="0" w:color="auto"/>
            <w:bottom w:val="none" w:sz="0" w:space="0" w:color="auto"/>
            <w:right w:val="none" w:sz="0" w:space="0" w:color="auto"/>
          </w:divBdr>
        </w:div>
        <w:div w:id="1172721352">
          <w:marLeft w:val="0"/>
          <w:marRight w:val="0"/>
          <w:marTop w:val="0"/>
          <w:marBottom w:val="0"/>
          <w:divBdr>
            <w:top w:val="none" w:sz="0" w:space="0" w:color="auto"/>
            <w:left w:val="none" w:sz="0" w:space="0" w:color="auto"/>
            <w:bottom w:val="none" w:sz="0" w:space="0" w:color="auto"/>
            <w:right w:val="none" w:sz="0" w:space="0" w:color="auto"/>
          </w:divBdr>
        </w:div>
        <w:div w:id="1297835385">
          <w:marLeft w:val="0"/>
          <w:marRight w:val="0"/>
          <w:marTop w:val="0"/>
          <w:marBottom w:val="0"/>
          <w:divBdr>
            <w:top w:val="none" w:sz="0" w:space="0" w:color="auto"/>
            <w:left w:val="none" w:sz="0" w:space="0" w:color="auto"/>
            <w:bottom w:val="none" w:sz="0" w:space="0" w:color="auto"/>
            <w:right w:val="none" w:sz="0" w:space="0" w:color="auto"/>
          </w:divBdr>
        </w:div>
        <w:div w:id="1968196243">
          <w:marLeft w:val="0"/>
          <w:marRight w:val="0"/>
          <w:marTop w:val="0"/>
          <w:marBottom w:val="0"/>
          <w:divBdr>
            <w:top w:val="none" w:sz="0" w:space="0" w:color="auto"/>
            <w:left w:val="none" w:sz="0" w:space="0" w:color="auto"/>
            <w:bottom w:val="none" w:sz="0" w:space="0" w:color="auto"/>
            <w:right w:val="none" w:sz="0" w:space="0" w:color="auto"/>
          </w:divBdr>
        </w:div>
        <w:div w:id="1975216124">
          <w:marLeft w:val="0"/>
          <w:marRight w:val="0"/>
          <w:marTop w:val="0"/>
          <w:marBottom w:val="0"/>
          <w:divBdr>
            <w:top w:val="none" w:sz="0" w:space="0" w:color="auto"/>
            <w:left w:val="none" w:sz="0" w:space="0" w:color="auto"/>
            <w:bottom w:val="none" w:sz="0" w:space="0" w:color="auto"/>
            <w:right w:val="none" w:sz="0" w:space="0" w:color="auto"/>
          </w:divBdr>
        </w:div>
        <w:div w:id="2090077727">
          <w:marLeft w:val="0"/>
          <w:marRight w:val="0"/>
          <w:marTop w:val="0"/>
          <w:marBottom w:val="0"/>
          <w:divBdr>
            <w:top w:val="none" w:sz="0" w:space="0" w:color="auto"/>
            <w:left w:val="none" w:sz="0" w:space="0" w:color="auto"/>
            <w:bottom w:val="none" w:sz="0" w:space="0" w:color="auto"/>
            <w:right w:val="none" w:sz="0" w:space="0" w:color="auto"/>
          </w:divBdr>
        </w:div>
      </w:divsChild>
    </w:div>
    <w:div w:id="296227857">
      <w:bodyDiv w:val="1"/>
      <w:marLeft w:val="0"/>
      <w:marRight w:val="0"/>
      <w:marTop w:val="0"/>
      <w:marBottom w:val="0"/>
      <w:divBdr>
        <w:top w:val="none" w:sz="0" w:space="0" w:color="auto"/>
        <w:left w:val="none" w:sz="0" w:space="0" w:color="auto"/>
        <w:bottom w:val="none" w:sz="0" w:space="0" w:color="auto"/>
        <w:right w:val="none" w:sz="0" w:space="0" w:color="auto"/>
      </w:divBdr>
      <w:divsChild>
        <w:div w:id="54090262">
          <w:marLeft w:val="0"/>
          <w:marRight w:val="0"/>
          <w:marTop w:val="0"/>
          <w:marBottom w:val="0"/>
          <w:divBdr>
            <w:top w:val="none" w:sz="0" w:space="0" w:color="auto"/>
            <w:left w:val="none" w:sz="0" w:space="0" w:color="auto"/>
            <w:bottom w:val="none" w:sz="0" w:space="0" w:color="auto"/>
            <w:right w:val="none" w:sz="0" w:space="0" w:color="auto"/>
          </w:divBdr>
        </w:div>
        <w:div w:id="226844727">
          <w:marLeft w:val="0"/>
          <w:marRight w:val="0"/>
          <w:marTop w:val="0"/>
          <w:marBottom w:val="0"/>
          <w:divBdr>
            <w:top w:val="none" w:sz="0" w:space="0" w:color="auto"/>
            <w:left w:val="none" w:sz="0" w:space="0" w:color="auto"/>
            <w:bottom w:val="none" w:sz="0" w:space="0" w:color="auto"/>
            <w:right w:val="none" w:sz="0" w:space="0" w:color="auto"/>
          </w:divBdr>
        </w:div>
        <w:div w:id="379672824">
          <w:marLeft w:val="0"/>
          <w:marRight w:val="0"/>
          <w:marTop w:val="0"/>
          <w:marBottom w:val="0"/>
          <w:divBdr>
            <w:top w:val="none" w:sz="0" w:space="0" w:color="auto"/>
            <w:left w:val="none" w:sz="0" w:space="0" w:color="auto"/>
            <w:bottom w:val="none" w:sz="0" w:space="0" w:color="auto"/>
            <w:right w:val="none" w:sz="0" w:space="0" w:color="auto"/>
          </w:divBdr>
        </w:div>
        <w:div w:id="384106506">
          <w:marLeft w:val="0"/>
          <w:marRight w:val="0"/>
          <w:marTop w:val="0"/>
          <w:marBottom w:val="0"/>
          <w:divBdr>
            <w:top w:val="none" w:sz="0" w:space="0" w:color="auto"/>
            <w:left w:val="none" w:sz="0" w:space="0" w:color="auto"/>
            <w:bottom w:val="none" w:sz="0" w:space="0" w:color="auto"/>
            <w:right w:val="none" w:sz="0" w:space="0" w:color="auto"/>
          </w:divBdr>
        </w:div>
        <w:div w:id="484247650">
          <w:marLeft w:val="0"/>
          <w:marRight w:val="0"/>
          <w:marTop w:val="0"/>
          <w:marBottom w:val="0"/>
          <w:divBdr>
            <w:top w:val="none" w:sz="0" w:space="0" w:color="auto"/>
            <w:left w:val="none" w:sz="0" w:space="0" w:color="auto"/>
            <w:bottom w:val="none" w:sz="0" w:space="0" w:color="auto"/>
            <w:right w:val="none" w:sz="0" w:space="0" w:color="auto"/>
          </w:divBdr>
        </w:div>
        <w:div w:id="609552582">
          <w:marLeft w:val="0"/>
          <w:marRight w:val="0"/>
          <w:marTop w:val="0"/>
          <w:marBottom w:val="0"/>
          <w:divBdr>
            <w:top w:val="none" w:sz="0" w:space="0" w:color="auto"/>
            <w:left w:val="none" w:sz="0" w:space="0" w:color="auto"/>
            <w:bottom w:val="none" w:sz="0" w:space="0" w:color="auto"/>
            <w:right w:val="none" w:sz="0" w:space="0" w:color="auto"/>
          </w:divBdr>
        </w:div>
        <w:div w:id="684789586">
          <w:marLeft w:val="0"/>
          <w:marRight w:val="0"/>
          <w:marTop w:val="0"/>
          <w:marBottom w:val="0"/>
          <w:divBdr>
            <w:top w:val="none" w:sz="0" w:space="0" w:color="auto"/>
            <w:left w:val="none" w:sz="0" w:space="0" w:color="auto"/>
            <w:bottom w:val="none" w:sz="0" w:space="0" w:color="auto"/>
            <w:right w:val="none" w:sz="0" w:space="0" w:color="auto"/>
          </w:divBdr>
        </w:div>
        <w:div w:id="1539005330">
          <w:marLeft w:val="0"/>
          <w:marRight w:val="0"/>
          <w:marTop w:val="0"/>
          <w:marBottom w:val="0"/>
          <w:divBdr>
            <w:top w:val="none" w:sz="0" w:space="0" w:color="auto"/>
            <w:left w:val="none" w:sz="0" w:space="0" w:color="auto"/>
            <w:bottom w:val="none" w:sz="0" w:space="0" w:color="auto"/>
            <w:right w:val="none" w:sz="0" w:space="0" w:color="auto"/>
          </w:divBdr>
        </w:div>
        <w:div w:id="1846820941">
          <w:marLeft w:val="0"/>
          <w:marRight w:val="0"/>
          <w:marTop w:val="0"/>
          <w:marBottom w:val="0"/>
          <w:divBdr>
            <w:top w:val="none" w:sz="0" w:space="0" w:color="auto"/>
            <w:left w:val="none" w:sz="0" w:space="0" w:color="auto"/>
            <w:bottom w:val="none" w:sz="0" w:space="0" w:color="auto"/>
            <w:right w:val="none" w:sz="0" w:space="0" w:color="auto"/>
          </w:divBdr>
        </w:div>
      </w:divsChild>
    </w:div>
    <w:div w:id="313068342">
      <w:bodyDiv w:val="1"/>
      <w:marLeft w:val="0"/>
      <w:marRight w:val="0"/>
      <w:marTop w:val="0"/>
      <w:marBottom w:val="0"/>
      <w:divBdr>
        <w:top w:val="none" w:sz="0" w:space="0" w:color="auto"/>
        <w:left w:val="none" w:sz="0" w:space="0" w:color="auto"/>
        <w:bottom w:val="none" w:sz="0" w:space="0" w:color="auto"/>
        <w:right w:val="none" w:sz="0" w:space="0" w:color="auto"/>
      </w:divBdr>
      <w:divsChild>
        <w:div w:id="338393755">
          <w:marLeft w:val="0"/>
          <w:marRight w:val="0"/>
          <w:marTop w:val="0"/>
          <w:marBottom w:val="0"/>
          <w:divBdr>
            <w:top w:val="none" w:sz="0" w:space="0" w:color="auto"/>
            <w:left w:val="none" w:sz="0" w:space="0" w:color="auto"/>
            <w:bottom w:val="none" w:sz="0" w:space="0" w:color="auto"/>
            <w:right w:val="none" w:sz="0" w:space="0" w:color="auto"/>
          </w:divBdr>
        </w:div>
        <w:div w:id="1065106691">
          <w:marLeft w:val="0"/>
          <w:marRight w:val="0"/>
          <w:marTop w:val="0"/>
          <w:marBottom w:val="0"/>
          <w:divBdr>
            <w:top w:val="none" w:sz="0" w:space="0" w:color="auto"/>
            <w:left w:val="none" w:sz="0" w:space="0" w:color="auto"/>
            <w:bottom w:val="none" w:sz="0" w:space="0" w:color="auto"/>
            <w:right w:val="none" w:sz="0" w:space="0" w:color="auto"/>
          </w:divBdr>
        </w:div>
        <w:div w:id="1073313340">
          <w:marLeft w:val="0"/>
          <w:marRight w:val="0"/>
          <w:marTop w:val="0"/>
          <w:marBottom w:val="0"/>
          <w:divBdr>
            <w:top w:val="none" w:sz="0" w:space="0" w:color="auto"/>
            <w:left w:val="none" w:sz="0" w:space="0" w:color="auto"/>
            <w:bottom w:val="none" w:sz="0" w:space="0" w:color="auto"/>
            <w:right w:val="none" w:sz="0" w:space="0" w:color="auto"/>
          </w:divBdr>
        </w:div>
        <w:div w:id="1883130054">
          <w:marLeft w:val="0"/>
          <w:marRight w:val="0"/>
          <w:marTop w:val="0"/>
          <w:marBottom w:val="0"/>
          <w:divBdr>
            <w:top w:val="none" w:sz="0" w:space="0" w:color="auto"/>
            <w:left w:val="none" w:sz="0" w:space="0" w:color="auto"/>
            <w:bottom w:val="none" w:sz="0" w:space="0" w:color="auto"/>
            <w:right w:val="none" w:sz="0" w:space="0" w:color="auto"/>
          </w:divBdr>
        </w:div>
        <w:div w:id="2110345509">
          <w:marLeft w:val="0"/>
          <w:marRight w:val="0"/>
          <w:marTop w:val="0"/>
          <w:marBottom w:val="0"/>
          <w:divBdr>
            <w:top w:val="none" w:sz="0" w:space="0" w:color="auto"/>
            <w:left w:val="none" w:sz="0" w:space="0" w:color="auto"/>
            <w:bottom w:val="none" w:sz="0" w:space="0" w:color="auto"/>
            <w:right w:val="none" w:sz="0" w:space="0" w:color="auto"/>
          </w:divBdr>
        </w:div>
      </w:divsChild>
    </w:div>
    <w:div w:id="313336897">
      <w:bodyDiv w:val="1"/>
      <w:marLeft w:val="0"/>
      <w:marRight w:val="0"/>
      <w:marTop w:val="0"/>
      <w:marBottom w:val="0"/>
      <w:divBdr>
        <w:top w:val="none" w:sz="0" w:space="0" w:color="auto"/>
        <w:left w:val="none" w:sz="0" w:space="0" w:color="auto"/>
        <w:bottom w:val="none" w:sz="0" w:space="0" w:color="auto"/>
        <w:right w:val="none" w:sz="0" w:space="0" w:color="auto"/>
      </w:divBdr>
      <w:divsChild>
        <w:div w:id="86925004">
          <w:marLeft w:val="0"/>
          <w:marRight w:val="0"/>
          <w:marTop w:val="0"/>
          <w:marBottom w:val="0"/>
          <w:divBdr>
            <w:top w:val="none" w:sz="0" w:space="0" w:color="auto"/>
            <w:left w:val="none" w:sz="0" w:space="0" w:color="auto"/>
            <w:bottom w:val="none" w:sz="0" w:space="0" w:color="auto"/>
            <w:right w:val="none" w:sz="0" w:space="0" w:color="auto"/>
          </w:divBdr>
        </w:div>
        <w:div w:id="194847947">
          <w:marLeft w:val="0"/>
          <w:marRight w:val="0"/>
          <w:marTop w:val="0"/>
          <w:marBottom w:val="0"/>
          <w:divBdr>
            <w:top w:val="none" w:sz="0" w:space="0" w:color="auto"/>
            <w:left w:val="none" w:sz="0" w:space="0" w:color="auto"/>
            <w:bottom w:val="none" w:sz="0" w:space="0" w:color="auto"/>
            <w:right w:val="none" w:sz="0" w:space="0" w:color="auto"/>
          </w:divBdr>
        </w:div>
        <w:div w:id="497304450">
          <w:marLeft w:val="0"/>
          <w:marRight w:val="0"/>
          <w:marTop w:val="0"/>
          <w:marBottom w:val="0"/>
          <w:divBdr>
            <w:top w:val="none" w:sz="0" w:space="0" w:color="auto"/>
            <w:left w:val="none" w:sz="0" w:space="0" w:color="auto"/>
            <w:bottom w:val="none" w:sz="0" w:space="0" w:color="auto"/>
            <w:right w:val="none" w:sz="0" w:space="0" w:color="auto"/>
          </w:divBdr>
        </w:div>
        <w:div w:id="1404454154">
          <w:marLeft w:val="0"/>
          <w:marRight w:val="0"/>
          <w:marTop w:val="0"/>
          <w:marBottom w:val="0"/>
          <w:divBdr>
            <w:top w:val="none" w:sz="0" w:space="0" w:color="auto"/>
            <w:left w:val="none" w:sz="0" w:space="0" w:color="auto"/>
            <w:bottom w:val="none" w:sz="0" w:space="0" w:color="auto"/>
            <w:right w:val="none" w:sz="0" w:space="0" w:color="auto"/>
          </w:divBdr>
        </w:div>
        <w:div w:id="1773235602">
          <w:marLeft w:val="0"/>
          <w:marRight w:val="0"/>
          <w:marTop w:val="0"/>
          <w:marBottom w:val="0"/>
          <w:divBdr>
            <w:top w:val="none" w:sz="0" w:space="0" w:color="auto"/>
            <w:left w:val="none" w:sz="0" w:space="0" w:color="auto"/>
            <w:bottom w:val="none" w:sz="0" w:space="0" w:color="auto"/>
            <w:right w:val="none" w:sz="0" w:space="0" w:color="auto"/>
          </w:divBdr>
        </w:div>
      </w:divsChild>
    </w:div>
    <w:div w:id="322584149">
      <w:bodyDiv w:val="1"/>
      <w:marLeft w:val="0"/>
      <w:marRight w:val="0"/>
      <w:marTop w:val="0"/>
      <w:marBottom w:val="0"/>
      <w:divBdr>
        <w:top w:val="none" w:sz="0" w:space="0" w:color="auto"/>
        <w:left w:val="none" w:sz="0" w:space="0" w:color="auto"/>
        <w:bottom w:val="none" w:sz="0" w:space="0" w:color="auto"/>
        <w:right w:val="none" w:sz="0" w:space="0" w:color="auto"/>
      </w:divBdr>
      <w:divsChild>
        <w:div w:id="303855801">
          <w:marLeft w:val="0"/>
          <w:marRight w:val="0"/>
          <w:marTop w:val="0"/>
          <w:marBottom w:val="0"/>
          <w:divBdr>
            <w:top w:val="none" w:sz="0" w:space="0" w:color="auto"/>
            <w:left w:val="none" w:sz="0" w:space="0" w:color="auto"/>
            <w:bottom w:val="none" w:sz="0" w:space="0" w:color="auto"/>
            <w:right w:val="none" w:sz="0" w:space="0" w:color="auto"/>
          </w:divBdr>
        </w:div>
        <w:div w:id="918172486">
          <w:marLeft w:val="0"/>
          <w:marRight w:val="0"/>
          <w:marTop w:val="0"/>
          <w:marBottom w:val="0"/>
          <w:divBdr>
            <w:top w:val="none" w:sz="0" w:space="0" w:color="auto"/>
            <w:left w:val="none" w:sz="0" w:space="0" w:color="auto"/>
            <w:bottom w:val="none" w:sz="0" w:space="0" w:color="auto"/>
            <w:right w:val="none" w:sz="0" w:space="0" w:color="auto"/>
          </w:divBdr>
        </w:div>
        <w:div w:id="1396200157">
          <w:marLeft w:val="0"/>
          <w:marRight w:val="0"/>
          <w:marTop w:val="0"/>
          <w:marBottom w:val="0"/>
          <w:divBdr>
            <w:top w:val="none" w:sz="0" w:space="0" w:color="auto"/>
            <w:left w:val="none" w:sz="0" w:space="0" w:color="auto"/>
            <w:bottom w:val="none" w:sz="0" w:space="0" w:color="auto"/>
            <w:right w:val="none" w:sz="0" w:space="0" w:color="auto"/>
          </w:divBdr>
        </w:div>
        <w:div w:id="2011248509">
          <w:marLeft w:val="0"/>
          <w:marRight w:val="0"/>
          <w:marTop w:val="0"/>
          <w:marBottom w:val="0"/>
          <w:divBdr>
            <w:top w:val="none" w:sz="0" w:space="0" w:color="auto"/>
            <w:left w:val="none" w:sz="0" w:space="0" w:color="auto"/>
            <w:bottom w:val="none" w:sz="0" w:space="0" w:color="auto"/>
            <w:right w:val="none" w:sz="0" w:space="0" w:color="auto"/>
          </w:divBdr>
        </w:div>
        <w:div w:id="2097823985">
          <w:marLeft w:val="0"/>
          <w:marRight w:val="0"/>
          <w:marTop w:val="0"/>
          <w:marBottom w:val="0"/>
          <w:divBdr>
            <w:top w:val="none" w:sz="0" w:space="0" w:color="auto"/>
            <w:left w:val="none" w:sz="0" w:space="0" w:color="auto"/>
            <w:bottom w:val="none" w:sz="0" w:space="0" w:color="auto"/>
            <w:right w:val="none" w:sz="0" w:space="0" w:color="auto"/>
          </w:divBdr>
        </w:div>
      </w:divsChild>
    </w:div>
    <w:div w:id="323778748">
      <w:bodyDiv w:val="1"/>
      <w:marLeft w:val="0"/>
      <w:marRight w:val="0"/>
      <w:marTop w:val="0"/>
      <w:marBottom w:val="0"/>
      <w:divBdr>
        <w:top w:val="none" w:sz="0" w:space="0" w:color="auto"/>
        <w:left w:val="none" w:sz="0" w:space="0" w:color="auto"/>
        <w:bottom w:val="none" w:sz="0" w:space="0" w:color="auto"/>
        <w:right w:val="none" w:sz="0" w:space="0" w:color="auto"/>
      </w:divBdr>
      <w:divsChild>
        <w:div w:id="77145051">
          <w:marLeft w:val="0"/>
          <w:marRight w:val="0"/>
          <w:marTop w:val="0"/>
          <w:marBottom w:val="0"/>
          <w:divBdr>
            <w:top w:val="none" w:sz="0" w:space="0" w:color="auto"/>
            <w:left w:val="none" w:sz="0" w:space="0" w:color="auto"/>
            <w:bottom w:val="none" w:sz="0" w:space="0" w:color="auto"/>
            <w:right w:val="none" w:sz="0" w:space="0" w:color="auto"/>
          </w:divBdr>
        </w:div>
        <w:div w:id="276370906">
          <w:marLeft w:val="0"/>
          <w:marRight w:val="0"/>
          <w:marTop w:val="0"/>
          <w:marBottom w:val="0"/>
          <w:divBdr>
            <w:top w:val="none" w:sz="0" w:space="0" w:color="auto"/>
            <w:left w:val="none" w:sz="0" w:space="0" w:color="auto"/>
            <w:bottom w:val="none" w:sz="0" w:space="0" w:color="auto"/>
            <w:right w:val="none" w:sz="0" w:space="0" w:color="auto"/>
          </w:divBdr>
        </w:div>
        <w:div w:id="350037548">
          <w:marLeft w:val="0"/>
          <w:marRight w:val="0"/>
          <w:marTop w:val="0"/>
          <w:marBottom w:val="0"/>
          <w:divBdr>
            <w:top w:val="none" w:sz="0" w:space="0" w:color="auto"/>
            <w:left w:val="none" w:sz="0" w:space="0" w:color="auto"/>
            <w:bottom w:val="none" w:sz="0" w:space="0" w:color="auto"/>
            <w:right w:val="none" w:sz="0" w:space="0" w:color="auto"/>
          </w:divBdr>
        </w:div>
        <w:div w:id="591280820">
          <w:marLeft w:val="0"/>
          <w:marRight w:val="0"/>
          <w:marTop w:val="0"/>
          <w:marBottom w:val="0"/>
          <w:divBdr>
            <w:top w:val="none" w:sz="0" w:space="0" w:color="auto"/>
            <w:left w:val="none" w:sz="0" w:space="0" w:color="auto"/>
            <w:bottom w:val="none" w:sz="0" w:space="0" w:color="auto"/>
            <w:right w:val="none" w:sz="0" w:space="0" w:color="auto"/>
          </w:divBdr>
        </w:div>
        <w:div w:id="1033504919">
          <w:marLeft w:val="0"/>
          <w:marRight w:val="0"/>
          <w:marTop w:val="0"/>
          <w:marBottom w:val="0"/>
          <w:divBdr>
            <w:top w:val="none" w:sz="0" w:space="0" w:color="auto"/>
            <w:left w:val="none" w:sz="0" w:space="0" w:color="auto"/>
            <w:bottom w:val="none" w:sz="0" w:space="0" w:color="auto"/>
            <w:right w:val="none" w:sz="0" w:space="0" w:color="auto"/>
          </w:divBdr>
        </w:div>
        <w:div w:id="1276328063">
          <w:marLeft w:val="0"/>
          <w:marRight w:val="0"/>
          <w:marTop w:val="0"/>
          <w:marBottom w:val="0"/>
          <w:divBdr>
            <w:top w:val="none" w:sz="0" w:space="0" w:color="auto"/>
            <w:left w:val="none" w:sz="0" w:space="0" w:color="auto"/>
            <w:bottom w:val="none" w:sz="0" w:space="0" w:color="auto"/>
            <w:right w:val="none" w:sz="0" w:space="0" w:color="auto"/>
          </w:divBdr>
        </w:div>
        <w:div w:id="1411385844">
          <w:marLeft w:val="0"/>
          <w:marRight w:val="0"/>
          <w:marTop w:val="0"/>
          <w:marBottom w:val="0"/>
          <w:divBdr>
            <w:top w:val="none" w:sz="0" w:space="0" w:color="auto"/>
            <w:left w:val="none" w:sz="0" w:space="0" w:color="auto"/>
            <w:bottom w:val="none" w:sz="0" w:space="0" w:color="auto"/>
            <w:right w:val="none" w:sz="0" w:space="0" w:color="auto"/>
          </w:divBdr>
        </w:div>
        <w:div w:id="1631862264">
          <w:marLeft w:val="0"/>
          <w:marRight w:val="0"/>
          <w:marTop w:val="0"/>
          <w:marBottom w:val="0"/>
          <w:divBdr>
            <w:top w:val="none" w:sz="0" w:space="0" w:color="auto"/>
            <w:left w:val="none" w:sz="0" w:space="0" w:color="auto"/>
            <w:bottom w:val="none" w:sz="0" w:space="0" w:color="auto"/>
            <w:right w:val="none" w:sz="0" w:space="0" w:color="auto"/>
          </w:divBdr>
        </w:div>
        <w:div w:id="1945843484">
          <w:marLeft w:val="0"/>
          <w:marRight w:val="0"/>
          <w:marTop w:val="0"/>
          <w:marBottom w:val="0"/>
          <w:divBdr>
            <w:top w:val="none" w:sz="0" w:space="0" w:color="auto"/>
            <w:left w:val="none" w:sz="0" w:space="0" w:color="auto"/>
            <w:bottom w:val="none" w:sz="0" w:space="0" w:color="auto"/>
            <w:right w:val="none" w:sz="0" w:space="0" w:color="auto"/>
          </w:divBdr>
        </w:div>
        <w:div w:id="2120832914">
          <w:marLeft w:val="0"/>
          <w:marRight w:val="0"/>
          <w:marTop w:val="0"/>
          <w:marBottom w:val="0"/>
          <w:divBdr>
            <w:top w:val="none" w:sz="0" w:space="0" w:color="auto"/>
            <w:left w:val="none" w:sz="0" w:space="0" w:color="auto"/>
            <w:bottom w:val="none" w:sz="0" w:space="0" w:color="auto"/>
            <w:right w:val="none" w:sz="0" w:space="0" w:color="auto"/>
          </w:divBdr>
        </w:div>
      </w:divsChild>
    </w:div>
    <w:div w:id="329909019">
      <w:bodyDiv w:val="1"/>
      <w:marLeft w:val="0"/>
      <w:marRight w:val="0"/>
      <w:marTop w:val="0"/>
      <w:marBottom w:val="0"/>
      <w:divBdr>
        <w:top w:val="none" w:sz="0" w:space="0" w:color="auto"/>
        <w:left w:val="none" w:sz="0" w:space="0" w:color="auto"/>
        <w:bottom w:val="none" w:sz="0" w:space="0" w:color="auto"/>
        <w:right w:val="none" w:sz="0" w:space="0" w:color="auto"/>
      </w:divBdr>
      <w:divsChild>
        <w:div w:id="212891296">
          <w:marLeft w:val="0"/>
          <w:marRight w:val="0"/>
          <w:marTop w:val="0"/>
          <w:marBottom w:val="0"/>
          <w:divBdr>
            <w:top w:val="none" w:sz="0" w:space="0" w:color="auto"/>
            <w:left w:val="none" w:sz="0" w:space="0" w:color="auto"/>
            <w:bottom w:val="none" w:sz="0" w:space="0" w:color="auto"/>
            <w:right w:val="none" w:sz="0" w:space="0" w:color="auto"/>
          </w:divBdr>
        </w:div>
        <w:div w:id="369382146">
          <w:marLeft w:val="0"/>
          <w:marRight w:val="0"/>
          <w:marTop w:val="0"/>
          <w:marBottom w:val="0"/>
          <w:divBdr>
            <w:top w:val="none" w:sz="0" w:space="0" w:color="auto"/>
            <w:left w:val="none" w:sz="0" w:space="0" w:color="auto"/>
            <w:bottom w:val="none" w:sz="0" w:space="0" w:color="auto"/>
            <w:right w:val="none" w:sz="0" w:space="0" w:color="auto"/>
          </w:divBdr>
        </w:div>
        <w:div w:id="1056202375">
          <w:marLeft w:val="0"/>
          <w:marRight w:val="0"/>
          <w:marTop w:val="0"/>
          <w:marBottom w:val="0"/>
          <w:divBdr>
            <w:top w:val="none" w:sz="0" w:space="0" w:color="auto"/>
            <w:left w:val="none" w:sz="0" w:space="0" w:color="auto"/>
            <w:bottom w:val="none" w:sz="0" w:space="0" w:color="auto"/>
            <w:right w:val="none" w:sz="0" w:space="0" w:color="auto"/>
          </w:divBdr>
        </w:div>
        <w:div w:id="1099762523">
          <w:marLeft w:val="0"/>
          <w:marRight w:val="0"/>
          <w:marTop w:val="0"/>
          <w:marBottom w:val="0"/>
          <w:divBdr>
            <w:top w:val="none" w:sz="0" w:space="0" w:color="auto"/>
            <w:left w:val="none" w:sz="0" w:space="0" w:color="auto"/>
            <w:bottom w:val="none" w:sz="0" w:space="0" w:color="auto"/>
            <w:right w:val="none" w:sz="0" w:space="0" w:color="auto"/>
          </w:divBdr>
        </w:div>
        <w:div w:id="2028095601">
          <w:marLeft w:val="0"/>
          <w:marRight w:val="0"/>
          <w:marTop w:val="0"/>
          <w:marBottom w:val="0"/>
          <w:divBdr>
            <w:top w:val="none" w:sz="0" w:space="0" w:color="auto"/>
            <w:left w:val="none" w:sz="0" w:space="0" w:color="auto"/>
            <w:bottom w:val="none" w:sz="0" w:space="0" w:color="auto"/>
            <w:right w:val="none" w:sz="0" w:space="0" w:color="auto"/>
          </w:divBdr>
        </w:div>
      </w:divsChild>
    </w:div>
    <w:div w:id="333729719">
      <w:bodyDiv w:val="1"/>
      <w:marLeft w:val="0"/>
      <w:marRight w:val="0"/>
      <w:marTop w:val="0"/>
      <w:marBottom w:val="0"/>
      <w:divBdr>
        <w:top w:val="none" w:sz="0" w:space="0" w:color="auto"/>
        <w:left w:val="none" w:sz="0" w:space="0" w:color="auto"/>
        <w:bottom w:val="none" w:sz="0" w:space="0" w:color="auto"/>
        <w:right w:val="none" w:sz="0" w:space="0" w:color="auto"/>
      </w:divBdr>
      <w:divsChild>
        <w:div w:id="228537541">
          <w:marLeft w:val="0"/>
          <w:marRight w:val="0"/>
          <w:marTop w:val="0"/>
          <w:marBottom w:val="0"/>
          <w:divBdr>
            <w:top w:val="none" w:sz="0" w:space="0" w:color="auto"/>
            <w:left w:val="none" w:sz="0" w:space="0" w:color="auto"/>
            <w:bottom w:val="none" w:sz="0" w:space="0" w:color="auto"/>
            <w:right w:val="none" w:sz="0" w:space="0" w:color="auto"/>
          </w:divBdr>
        </w:div>
        <w:div w:id="232354709">
          <w:marLeft w:val="0"/>
          <w:marRight w:val="0"/>
          <w:marTop w:val="0"/>
          <w:marBottom w:val="0"/>
          <w:divBdr>
            <w:top w:val="none" w:sz="0" w:space="0" w:color="auto"/>
            <w:left w:val="none" w:sz="0" w:space="0" w:color="auto"/>
            <w:bottom w:val="none" w:sz="0" w:space="0" w:color="auto"/>
            <w:right w:val="none" w:sz="0" w:space="0" w:color="auto"/>
          </w:divBdr>
        </w:div>
        <w:div w:id="659508657">
          <w:marLeft w:val="0"/>
          <w:marRight w:val="0"/>
          <w:marTop w:val="0"/>
          <w:marBottom w:val="0"/>
          <w:divBdr>
            <w:top w:val="none" w:sz="0" w:space="0" w:color="auto"/>
            <w:left w:val="none" w:sz="0" w:space="0" w:color="auto"/>
            <w:bottom w:val="none" w:sz="0" w:space="0" w:color="auto"/>
            <w:right w:val="none" w:sz="0" w:space="0" w:color="auto"/>
          </w:divBdr>
        </w:div>
        <w:div w:id="708339858">
          <w:marLeft w:val="0"/>
          <w:marRight w:val="0"/>
          <w:marTop w:val="0"/>
          <w:marBottom w:val="0"/>
          <w:divBdr>
            <w:top w:val="none" w:sz="0" w:space="0" w:color="auto"/>
            <w:left w:val="none" w:sz="0" w:space="0" w:color="auto"/>
            <w:bottom w:val="none" w:sz="0" w:space="0" w:color="auto"/>
            <w:right w:val="none" w:sz="0" w:space="0" w:color="auto"/>
          </w:divBdr>
          <w:divsChild>
            <w:div w:id="258874480">
              <w:marLeft w:val="0"/>
              <w:marRight w:val="0"/>
              <w:marTop w:val="0"/>
              <w:marBottom w:val="0"/>
              <w:divBdr>
                <w:top w:val="none" w:sz="0" w:space="0" w:color="auto"/>
                <w:left w:val="none" w:sz="0" w:space="0" w:color="auto"/>
                <w:bottom w:val="none" w:sz="0" w:space="0" w:color="auto"/>
                <w:right w:val="none" w:sz="0" w:space="0" w:color="auto"/>
              </w:divBdr>
            </w:div>
            <w:div w:id="341783527">
              <w:marLeft w:val="0"/>
              <w:marRight w:val="0"/>
              <w:marTop w:val="0"/>
              <w:marBottom w:val="0"/>
              <w:divBdr>
                <w:top w:val="none" w:sz="0" w:space="0" w:color="auto"/>
                <w:left w:val="none" w:sz="0" w:space="0" w:color="auto"/>
                <w:bottom w:val="none" w:sz="0" w:space="0" w:color="auto"/>
                <w:right w:val="none" w:sz="0" w:space="0" w:color="auto"/>
              </w:divBdr>
            </w:div>
            <w:div w:id="984622804">
              <w:marLeft w:val="0"/>
              <w:marRight w:val="0"/>
              <w:marTop w:val="0"/>
              <w:marBottom w:val="0"/>
              <w:divBdr>
                <w:top w:val="none" w:sz="0" w:space="0" w:color="auto"/>
                <w:left w:val="none" w:sz="0" w:space="0" w:color="auto"/>
                <w:bottom w:val="none" w:sz="0" w:space="0" w:color="auto"/>
                <w:right w:val="none" w:sz="0" w:space="0" w:color="auto"/>
              </w:divBdr>
            </w:div>
            <w:div w:id="1317413157">
              <w:marLeft w:val="0"/>
              <w:marRight w:val="0"/>
              <w:marTop w:val="0"/>
              <w:marBottom w:val="0"/>
              <w:divBdr>
                <w:top w:val="none" w:sz="0" w:space="0" w:color="auto"/>
                <w:left w:val="none" w:sz="0" w:space="0" w:color="auto"/>
                <w:bottom w:val="none" w:sz="0" w:space="0" w:color="auto"/>
                <w:right w:val="none" w:sz="0" w:space="0" w:color="auto"/>
              </w:divBdr>
            </w:div>
            <w:div w:id="1330937476">
              <w:marLeft w:val="0"/>
              <w:marRight w:val="0"/>
              <w:marTop w:val="0"/>
              <w:marBottom w:val="0"/>
              <w:divBdr>
                <w:top w:val="none" w:sz="0" w:space="0" w:color="auto"/>
                <w:left w:val="none" w:sz="0" w:space="0" w:color="auto"/>
                <w:bottom w:val="none" w:sz="0" w:space="0" w:color="auto"/>
                <w:right w:val="none" w:sz="0" w:space="0" w:color="auto"/>
              </w:divBdr>
            </w:div>
          </w:divsChild>
        </w:div>
        <w:div w:id="1104225572">
          <w:marLeft w:val="0"/>
          <w:marRight w:val="0"/>
          <w:marTop w:val="0"/>
          <w:marBottom w:val="0"/>
          <w:divBdr>
            <w:top w:val="none" w:sz="0" w:space="0" w:color="auto"/>
            <w:left w:val="none" w:sz="0" w:space="0" w:color="auto"/>
            <w:bottom w:val="none" w:sz="0" w:space="0" w:color="auto"/>
            <w:right w:val="none" w:sz="0" w:space="0" w:color="auto"/>
          </w:divBdr>
        </w:div>
        <w:div w:id="1306622915">
          <w:marLeft w:val="0"/>
          <w:marRight w:val="0"/>
          <w:marTop w:val="0"/>
          <w:marBottom w:val="0"/>
          <w:divBdr>
            <w:top w:val="none" w:sz="0" w:space="0" w:color="auto"/>
            <w:left w:val="none" w:sz="0" w:space="0" w:color="auto"/>
            <w:bottom w:val="none" w:sz="0" w:space="0" w:color="auto"/>
            <w:right w:val="none" w:sz="0" w:space="0" w:color="auto"/>
          </w:divBdr>
        </w:div>
        <w:div w:id="1605116165">
          <w:marLeft w:val="0"/>
          <w:marRight w:val="0"/>
          <w:marTop w:val="0"/>
          <w:marBottom w:val="0"/>
          <w:divBdr>
            <w:top w:val="none" w:sz="0" w:space="0" w:color="auto"/>
            <w:left w:val="none" w:sz="0" w:space="0" w:color="auto"/>
            <w:bottom w:val="none" w:sz="0" w:space="0" w:color="auto"/>
            <w:right w:val="none" w:sz="0" w:space="0" w:color="auto"/>
          </w:divBdr>
        </w:div>
      </w:divsChild>
    </w:div>
    <w:div w:id="334765858">
      <w:bodyDiv w:val="1"/>
      <w:marLeft w:val="0"/>
      <w:marRight w:val="0"/>
      <w:marTop w:val="0"/>
      <w:marBottom w:val="0"/>
      <w:divBdr>
        <w:top w:val="none" w:sz="0" w:space="0" w:color="auto"/>
        <w:left w:val="none" w:sz="0" w:space="0" w:color="auto"/>
        <w:bottom w:val="none" w:sz="0" w:space="0" w:color="auto"/>
        <w:right w:val="none" w:sz="0" w:space="0" w:color="auto"/>
      </w:divBdr>
      <w:divsChild>
        <w:div w:id="100300622">
          <w:marLeft w:val="0"/>
          <w:marRight w:val="0"/>
          <w:marTop w:val="0"/>
          <w:marBottom w:val="0"/>
          <w:divBdr>
            <w:top w:val="none" w:sz="0" w:space="0" w:color="auto"/>
            <w:left w:val="none" w:sz="0" w:space="0" w:color="auto"/>
            <w:bottom w:val="none" w:sz="0" w:space="0" w:color="auto"/>
            <w:right w:val="none" w:sz="0" w:space="0" w:color="auto"/>
          </w:divBdr>
        </w:div>
        <w:div w:id="647439873">
          <w:marLeft w:val="0"/>
          <w:marRight w:val="0"/>
          <w:marTop w:val="0"/>
          <w:marBottom w:val="0"/>
          <w:divBdr>
            <w:top w:val="none" w:sz="0" w:space="0" w:color="auto"/>
            <w:left w:val="none" w:sz="0" w:space="0" w:color="auto"/>
            <w:bottom w:val="none" w:sz="0" w:space="0" w:color="auto"/>
            <w:right w:val="none" w:sz="0" w:space="0" w:color="auto"/>
          </w:divBdr>
        </w:div>
        <w:div w:id="1092118340">
          <w:marLeft w:val="0"/>
          <w:marRight w:val="0"/>
          <w:marTop w:val="0"/>
          <w:marBottom w:val="0"/>
          <w:divBdr>
            <w:top w:val="none" w:sz="0" w:space="0" w:color="auto"/>
            <w:left w:val="none" w:sz="0" w:space="0" w:color="auto"/>
            <w:bottom w:val="none" w:sz="0" w:space="0" w:color="auto"/>
            <w:right w:val="none" w:sz="0" w:space="0" w:color="auto"/>
          </w:divBdr>
        </w:div>
        <w:div w:id="1212689550">
          <w:marLeft w:val="0"/>
          <w:marRight w:val="0"/>
          <w:marTop w:val="0"/>
          <w:marBottom w:val="0"/>
          <w:divBdr>
            <w:top w:val="none" w:sz="0" w:space="0" w:color="auto"/>
            <w:left w:val="none" w:sz="0" w:space="0" w:color="auto"/>
            <w:bottom w:val="none" w:sz="0" w:space="0" w:color="auto"/>
            <w:right w:val="none" w:sz="0" w:space="0" w:color="auto"/>
          </w:divBdr>
        </w:div>
        <w:div w:id="1772050221">
          <w:marLeft w:val="0"/>
          <w:marRight w:val="0"/>
          <w:marTop w:val="0"/>
          <w:marBottom w:val="0"/>
          <w:divBdr>
            <w:top w:val="none" w:sz="0" w:space="0" w:color="auto"/>
            <w:left w:val="none" w:sz="0" w:space="0" w:color="auto"/>
            <w:bottom w:val="none" w:sz="0" w:space="0" w:color="auto"/>
            <w:right w:val="none" w:sz="0" w:space="0" w:color="auto"/>
          </w:divBdr>
        </w:div>
      </w:divsChild>
    </w:div>
    <w:div w:id="336621223">
      <w:bodyDiv w:val="1"/>
      <w:marLeft w:val="0"/>
      <w:marRight w:val="0"/>
      <w:marTop w:val="0"/>
      <w:marBottom w:val="0"/>
      <w:divBdr>
        <w:top w:val="none" w:sz="0" w:space="0" w:color="auto"/>
        <w:left w:val="none" w:sz="0" w:space="0" w:color="auto"/>
        <w:bottom w:val="none" w:sz="0" w:space="0" w:color="auto"/>
        <w:right w:val="none" w:sz="0" w:space="0" w:color="auto"/>
      </w:divBdr>
      <w:divsChild>
        <w:div w:id="749154670">
          <w:marLeft w:val="0"/>
          <w:marRight w:val="0"/>
          <w:marTop w:val="0"/>
          <w:marBottom w:val="0"/>
          <w:divBdr>
            <w:top w:val="none" w:sz="0" w:space="0" w:color="auto"/>
            <w:left w:val="none" w:sz="0" w:space="0" w:color="auto"/>
            <w:bottom w:val="none" w:sz="0" w:space="0" w:color="auto"/>
            <w:right w:val="none" w:sz="0" w:space="0" w:color="auto"/>
          </w:divBdr>
        </w:div>
        <w:div w:id="1128472511">
          <w:marLeft w:val="0"/>
          <w:marRight w:val="0"/>
          <w:marTop w:val="0"/>
          <w:marBottom w:val="0"/>
          <w:divBdr>
            <w:top w:val="none" w:sz="0" w:space="0" w:color="auto"/>
            <w:left w:val="none" w:sz="0" w:space="0" w:color="auto"/>
            <w:bottom w:val="none" w:sz="0" w:space="0" w:color="auto"/>
            <w:right w:val="none" w:sz="0" w:space="0" w:color="auto"/>
          </w:divBdr>
        </w:div>
        <w:div w:id="1371147040">
          <w:marLeft w:val="0"/>
          <w:marRight w:val="0"/>
          <w:marTop w:val="0"/>
          <w:marBottom w:val="0"/>
          <w:divBdr>
            <w:top w:val="none" w:sz="0" w:space="0" w:color="auto"/>
            <w:left w:val="none" w:sz="0" w:space="0" w:color="auto"/>
            <w:bottom w:val="none" w:sz="0" w:space="0" w:color="auto"/>
            <w:right w:val="none" w:sz="0" w:space="0" w:color="auto"/>
          </w:divBdr>
          <w:divsChild>
            <w:div w:id="132866687">
              <w:marLeft w:val="0"/>
              <w:marRight w:val="0"/>
              <w:marTop w:val="0"/>
              <w:marBottom w:val="0"/>
              <w:divBdr>
                <w:top w:val="none" w:sz="0" w:space="0" w:color="auto"/>
                <w:left w:val="none" w:sz="0" w:space="0" w:color="auto"/>
                <w:bottom w:val="none" w:sz="0" w:space="0" w:color="auto"/>
                <w:right w:val="none" w:sz="0" w:space="0" w:color="auto"/>
              </w:divBdr>
            </w:div>
            <w:div w:id="1215191022">
              <w:marLeft w:val="0"/>
              <w:marRight w:val="0"/>
              <w:marTop w:val="0"/>
              <w:marBottom w:val="0"/>
              <w:divBdr>
                <w:top w:val="none" w:sz="0" w:space="0" w:color="auto"/>
                <w:left w:val="none" w:sz="0" w:space="0" w:color="auto"/>
                <w:bottom w:val="none" w:sz="0" w:space="0" w:color="auto"/>
                <w:right w:val="none" w:sz="0" w:space="0" w:color="auto"/>
              </w:divBdr>
            </w:div>
            <w:div w:id="1369843370">
              <w:marLeft w:val="0"/>
              <w:marRight w:val="0"/>
              <w:marTop w:val="0"/>
              <w:marBottom w:val="0"/>
              <w:divBdr>
                <w:top w:val="none" w:sz="0" w:space="0" w:color="auto"/>
                <w:left w:val="none" w:sz="0" w:space="0" w:color="auto"/>
                <w:bottom w:val="none" w:sz="0" w:space="0" w:color="auto"/>
                <w:right w:val="none" w:sz="0" w:space="0" w:color="auto"/>
              </w:divBdr>
            </w:div>
            <w:div w:id="1417634044">
              <w:marLeft w:val="0"/>
              <w:marRight w:val="0"/>
              <w:marTop w:val="0"/>
              <w:marBottom w:val="0"/>
              <w:divBdr>
                <w:top w:val="none" w:sz="0" w:space="0" w:color="auto"/>
                <w:left w:val="none" w:sz="0" w:space="0" w:color="auto"/>
                <w:bottom w:val="none" w:sz="0" w:space="0" w:color="auto"/>
                <w:right w:val="none" w:sz="0" w:space="0" w:color="auto"/>
              </w:divBdr>
            </w:div>
            <w:div w:id="1944681547">
              <w:marLeft w:val="0"/>
              <w:marRight w:val="0"/>
              <w:marTop w:val="0"/>
              <w:marBottom w:val="0"/>
              <w:divBdr>
                <w:top w:val="none" w:sz="0" w:space="0" w:color="auto"/>
                <w:left w:val="none" w:sz="0" w:space="0" w:color="auto"/>
                <w:bottom w:val="none" w:sz="0" w:space="0" w:color="auto"/>
                <w:right w:val="none" w:sz="0" w:space="0" w:color="auto"/>
              </w:divBdr>
            </w:div>
          </w:divsChild>
        </w:div>
        <w:div w:id="1540043264">
          <w:marLeft w:val="0"/>
          <w:marRight w:val="0"/>
          <w:marTop w:val="0"/>
          <w:marBottom w:val="0"/>
          <w:divBdr>
            <w:top w:val="none" w:sz="0" w:space="0" w:color="auto"/>
            <w:left w:val="none" w:sz="0" w:space="0" w:color="auto"/>
            <w:bottom w:val="none" w:sz="0" w:space="0" w:color="auto"/>
            <w:right w:val="none" w:sz="0" w:space="0" w:color="auto"/>
          </w:divBdr>
        </w:div>
        <w:div w:id="1552644101">
          <w:marLeft w:val="0"/>
          <w:marRight w:val="0"/>
          <w:marTop w:val="0"/>
          <w:marBottom w:val="0"/>
          <w:divBdr>
            <w:top w:val="none" w:sz="0" w:space="0" w:color="auto"/>
            <w:left w:val="none" w:sz="0" w:space="0" w:color="auto"/>
            <w:bottom w:val="none" w:sz="0" w:space="0" w:color="auto"/>
            <w:right w:val="none" w:sz="0" w:space="0" w:color="auto"/>
          </w:divBdr>
          <w:divsChild>
            <w:div w:id="733969119">
              <w:marLeft w:val="0"/>
              <w:marRight w:val="0"/>
              <w:marTop w:val="0"/>
              <w:marBottom w:val="0"/>
              <w:divBdr>
                <w:top w:val="none" w:sz="0" w:space="0" w:color="auto"/>
                <w:left w:val="none" w:sz="0" w:space="0" w:color="auto"/>
                <w:bottom w:val="none" w:sz="0" w:space="0" w:color="auto"/>
                <w:right w:val="none" w:sz="0" w:space="0" w:color="auto"/>
              </w:divBdr>
            </w:div>
            <w:div w:id="1507745796">
              <w:marLeft w:val="0"/>
              <w:marRight w:val="0"/>
              <w:marTop w:val="0"/>
              <w:marBottom w:val="0"/>
              <w:divBdr>
                <w:top w:val="none" w:sz="0" w:space="0" w:color="auto"/>
                <w:left w:val="none" w:sz="0" w:space="0" w:color="auto"/>
                <w:bottom w:val="none" w:sz="0" w:space="0" w:color="auto"/>
                <w:right w:val="none" w:sz="0" w:space="0" w:color="auto"/>
              </w:divBdr>
            </w:div>
            <w:div w:id="2104841723">
              <w:marLeft w:val="0"/>
              <w:marRight w:val="0"/>
              <w:marTop w:val="0"/>
              <w:marBottom w:val="0"/>
              <w:divBdr>
                <w:top w:val="none" w:sz="0" w:space="0" w:color="auto"/>
                <w:left w:val="none" w:sz="0" w:space="0" w:color="auto"/>
                <w:bottom w:val="none" w:sz="0" w:space="0" w:color="auto"/>
                <w:right w:val="none" w:sz="0" w:space="0" w:color="auto"/>
              </w:divBdr>
            </w:div>
          </w:divsChild>
        </w:div>
        <w:div w:id="1734426396">
          <w:marLeft w:val="0"/>
          <w:marRight w:val="0"/>
          <w:marTop w:val="0"/>
          <w:marBottom w:val="0"/>
          <w:divBdr>
            <w:top w:val="none" w:sz="0" w:space="0" w:color="auto"/>
            <w:left w:val="none" w:sz="0" w:space="0" w:color="auto"/>
            <w:bottom w:val="none" w:sz="0" w:space="0" w:color="auto"/>
            <w:right w:val="none" w:sz="0" w:space="0" w:color="auto"/>
          </w:divBdr>
        </w:div>
      </w:divsChild>
    </w:div>
    <w:div w:id="370349440">
      <w:bodyDiv w:val="1"/>
      <w:marLeft w:val="0"/>
      <w:marRight w:val="0"/>
      <w:marTop w:val="0"/>
      <w:marBottom w:val="0"/>
      <w:divBdr>
        <w:top w:val="none" w:sz="0" w:space="0" w:color="auto"/>
        <w:left w:val="none" w:sz="0" w:space="0" w:color="auto"/>
        <w:bottom w:val="none" w:sz="0" w:space="0" w:color="auto"/>
        <w:right w:val="none" w:sz="0" w:space="0" w:color="auto"/>
      </w:divBdr>
      <w:divsChild>
        <w:div w:id="127749977">
          <w:marLeft w:val="0"/>
          <w:marRight w:val="0"/>
          <w:marTop w:val="0"/>
          <w:marBottom w:val="0"/>
          <w:divBdr>
            <w:top w:val="none" w:sz="0" w:space="0" w:color="auto"/>
            <w:left w:val="none" w:sz="0" w:space="0" w:color="auto"/>
            <w:bottom w:val="none" w:sz="0" w:space="0" w:color="auto"/>
            <w:right w:val="none" w:sz="0" w:space="0" w:color="auto"/>
          </w:divBdr>
        </w:div>
        <w:div w:id="1118718108">
          <w:marLeft w:val="0"/>
          <w:marRight w:val="0"/>
          <w:marTop w:val="0"/>
          <w:marBottom w:val="0"/>
          <w:divBdr>
            <w:top w:val="none" w:sz="0" w:space="0" w:color="auto"/>
            <w:left w:val="none" w:sz="0" w:space="0" w:color="auto"/>
            <w:bottom w:val="none" w:sz="0" w:space="0" w:color="auto"/>
            <w:right w:val="none" w:sz="0" w:space="0" w:color="auto"/>
          </w:divBdr>
        </w:div>
        <w:div w:id="1512405971">
          <w:marLeft w:val="0"/>
          <w:marRight w:val="0"/>
          <w:marTop w:val="0"/>
          <w:marBottom w:val="0"/>
          <w:divBdr>
            <w:top w:val="none" w:sz="0" w:space="0" w:color="auto"/>
            <w:left w:val="none" w:sz="0" w:space="0" w:color="auto"/>
            <w:bottom w:val="none" w:sz="0" w:space="0" w:color="auto"/>
            <w:right w:val="none" w:sz="0" w:space="0" w:color="auto"/>
          </w:divBdr>
        </w:div>
        <w:div w:id="1728383455">
          <w:marLeft w:val="0"/>
          <w:marRight w:val="0"/>
          <w:marTop w:val="0"/>
          <w:marBottom w:val="0"/>
          <w:divBdr>
            <w:top w:val="none" w:sz="0" w:space="0" w:color="auto"/>
            <w:left w:val="none" w:sz="0" w:space="0" w:color="auto"/>
            <w:bottom w:val="none" w:sz="0" w:space="0" w:color="auto"/>
            <w:right w:val="none" w:sz="0" w:space="0" w:color="auto"/>
          </w:divBdr>
        </w:div>
        <w:div w:id="1800757702">
          <w:marLeft w:val="0"/>
          <w:marRight w:val="0"/>
          <w:marTop w:val="0"/>
          <w:marBottom w:val="0"/>
          <w:divBdr>
            <w:top w:val="none" w:sz="0" w:space="0" w:color="auto"/>
            <w:left w:val="none" w:sz="0" w:space="0" w:color="auto"/>
            <w:bottom w:val="none" w:sz="0" w:space="0" w:color="auto"/>
            <w:right w:val="none" w:sz="0" w:space="0" w:color="auto"/>
          </w:divBdr>
        </w:div>
      </w:divsChild>
    </w:div>
    <w:div w:id="373894086">
      <w:bodyDiv w:val="1"/>
      <w:marLeft w:val="0"/>
      <w:marRight w:val="0"/>
      <w:marTop w:val="0"/>
      <w:marBottom w:val="0"/>
      <w:divBdr>
        <w:top w:val="none" w:sz="0" w:space="0" w:color="auto"/>
        <w:left w:val="none" w:sz="0" w:space="0" w:color="auto"/>
        <w:bottom w:val="none" w:sz="0" w:space="0" w:color="auto"/>
        <w:right w:val="none" w:sz="0" w:space="0" w:color="auto"/>
      </w:divBdr>
      <w:divsChild>
        <w:div w:id="281812015">
          <w:marLeft w:val="0"/>
          <w:marRight w:val="0"/>
          <w:marTop w:val="0"/>
          <w:marBottom w:val="0"/>
          <w:divBdr>
            <w:top w:val="none" w:sz="0" w:space="0" w:color="auto"/>
            <w:left w:val="none" w:sz="0" w:space="0" w:color="auto"/>
            <w:bottom w:val="none" w:sz="0" w:space="0" w:color="auto"/>
            <w:right w:val="none" w:sz="0" w:space="0" w:color="auto"/>
          </w:divBdr>
        </w:div>
        <w:div w:id="765224833">
          <w:marLeft w:val="0"/>
          <w:marRight w:val="0"/>
          <w:marTop w:val="0"/>
          <w:marBottom w:val="0"/>
          <w:divBdr>
            <w:top w:val="none" w:sz="0" w:space="0" w:color="auto"/>
            <w:left w:val="none" w:sz="0" w:space="0" w:color="auto"/>
            <w:bottom w:val="none" w:sz="0" w:space="0" w:color="auto"/>
            <w:right w:val="none" w:sz="0" w:space="0" w:color="auto"/>
          </w:divBdr>
        </w:div>
        <w:div w:id="1094206328">
          <w:marLeft w:val="0"/>
          <w:marRight w:val="0"/>
          <w:marTop w:val="0"/>
          <w:marBottom w:val="0"/>
          <w:divBdr>
            <w:top w:val="none" w:sz="0" w:space="0" w:color="auto"/>
            <w:left w:val="none" w:sz="0" w:space="0" w:color="auto"/>
            <w:bottom w:val="none" w:sz="0" w:space="0" w:color="auto"/>
            <w:right w:val="none" w:sz="0" w:space="0" w:color="auto"/>
          </w:divBdr>
        </w:div>
        <w:div w:id="1459493964">
          <w:marLeft w:val="0"/>
          <w:marRight w:val="0"/>
          <w:marTop w:val="0"/>
          <w:marBottom w:val="0"/>
          <w:divBdr>
            <w:top w:val="none" w:sz="0" w:space="0" w:color="auto"/>
            <w:left w:val="none" w:sz="0" w:space="0" w:color="auto"/>
            <w:bottom w:val="none" w:sz="0" w:space="0" w:color="auto"/>
            <w:right w:val="none" w:sz="0" w:space="0" w:color="auto"/>
          </w:divBdr>
        </w:div>
        <w:div w:id="1895851183">
          <w:marLeft w:val="0"/>
          <w:marRight w:val="0"/>
          <w:marTop w:val="0"/>
          <w:marBottom w:val="0"/>
          <w:divBdr>
            <w:top w:val="none" w:sz="0" w:space="0" w:color="auto"/>
            <w:left w:val="none" w:sz="0" w:space="0" w:color="auto"/>
            <w:bottom w:val="none" w:sz="0" w:space="0" w:color="auto"/>
            <w:right w:val="none" w:sz="0" w:space="0" w:color="auto"/>
          </w:divBdr>
        </w:div>
      </w:divsChild>
    </w:div>
    <w:div w:id="376397687">
      <w:bodyDiv w:val="1"/>
      <w:marLeft w:val="0"/>
      <w:marRight w:val="0"/>
      <w:marTop w:val="0"/>
      <w:marBottom w:val="0"/>
      <w:divBdr>
        <w:top w:val="none" w:sz="0" w:space="0" w:color="auto"/>
        <w:left w:val="none" w:sz="0" w:space="0" w:color="auto"/>
        <w:bottom w:val="none" w:sz="0" w:space="0" w:color="auto"/>
        <w:right w:val="none" w:sz="0" w:space="0" w:color="auto"/>
      </w:divBdr>
      <w:divsChild>
        <w:div w:id="636837818">
          <w:marLeft w:val="0"/>
          <w:marRight w:val="0"/>
          <w:marTop w:val="0"/>
          <w:marBottom w:val="0"/>
          <w:divBdr>
            <w:top w:val="none" w:sz="0" w:space="0" w:color="auto"/>
            <w:left w:val="none" w:sz="0" w:space="0" w:color="auto"/>
            <w:bottom w:val="none" w:sz="0" w:space="0" w:color="auto"/>
            <w:right w:val="none" w:sz="0" w:space="0" w:color="auto"/>
          </w:divBdr>
        </w:div>
        <w:div w:id="1430613929">
          <w:marLeft w:val="0"/>
          <w:marRight w:val="0"/>
          <w:marTop w:val="0"/>
          <w:marBottom w:val="0"/>
          <w:divBdr>
            <w:top w:val="none" w:sz="0" w:space="0" w:color="auto"/>
            <w:left w:val="none" w:sz="0" w:space="0" w:color="auto"/>
            <w:bottom w:val="none" w:sz="0" w:space="0" w:color="auto"/>
            <w:right w:val="none" w:sz="0" w:space="0" w:color="auto"/>
          </w:divBdr>
        </w:div>
      </w:divsChild>
    </w:div>
    <w:div w:id="397097075">
      <w:bodyDiv w:val="1"/>
      <w:marLeft w:val="0"/>
      <w:marRight w:val="0"/>
      <w:marTop w:val="0"/>
      <w:marBottom w:val="0"/>
      <w:divBdr>
        <w:top w:val="none" w:sz="0" w:space="0" w:color="auto"/>
        <w:left w:val="none" w:sz="0" w:space="0" w:color="auto"/>
        <w:bottom w:val="none" w:sz="0" w:space="0" w:color="auto"/>
        <w:right w:val="none" w:sz="0" w:space="0" w:color="auto"/>
      </w:divBdr>
      <w:divsChild>
        <w:div w:id="89157297">
          <w:marLeft w:val="0"/>
          <w:marRight w:val="0"/>
          <w:marTop w:val="0"/>
          <w:marBottom w:val="0"/>
          <w:divBdr>
            <w:top w:val="none" w:sz="0" w:space="0" w:color="auto"/>
            <w:left w:val="none" w:sz="0" w:space="0" w:color="auto"/>
            <w:bottom w:val="none" w:sz="0" w:space="0" w:color="auto"/>
            <w:right w:val="none" w:sz="0" w:space="0" w:color="auto"/>
          </w:divBdr>
        </w:div>
        <w:div w:id="812065122">
          <w:marLeft w:val="0"/>
          <w:marRight w:val="0"/>
          <w:marTop w:val="0"/>
          <w:marBottom w:val="0"/>
          <w:divBdr>
            <w:top w:val="none" w:sz="0" w:space="0" w:color="auto"/>
            <w:left w:val="none" w:sz="0" w:space="0" w:color="auto"/>
            <w:bottom w:val="none" w:sz="0" w:space="0" w:color="auto"/>
            <w:right w:val="none" w:sz="0" w:space="0" w:color="auto"/>
          </w:divBdr>
        </w:div>
        <w:div w:id="851142434">
          <w:marLeft w:val="0"/>
          <w:marRight w:val="0"/>
          <w:marTop w:val="0"/>
          <w:marBottom w:val="0"/>
          <w:divBdr>
            <w:top w:val="none" w:sz="0" w:space="0" w:color="auto"/>
            <w:left w:val="none" w:sz="0" w:space="0" w:color="auto"/>
            <w:bottom w:val="none" w:sz="0" w:space="0" w:color="auto"/>
            <w:right w:val="none" w:sz="0" w:space="0" w:color="auto"/>
          </w:divBdr>
        </w:div>
        <w:div w:id="1156460048">
          <w:marLeft w:val="0"/>
          <w:marRight w:val="0"/>
          <w:marTop w:val="0"/>
          <w:marBottom w:val="0"/>
          <w:divBdr>
            <w:top w:val="none" w:sz="0" w:space="0" w:color="auto"/>
            <w:left w:val="none" w:sz="0" w:space="0" w:color="auto"/>
            <w:bottom w:val="none" w:sz="0" w:space="0" w:color="auto"/>
            <w:right w:val="none" w:sz="0" w:space="0" w:color="auto"/>
          </w:divBdr>
        </w:div>
        <w:div w:id="1510755005">
          <w:marLeft w:val="0"/>
          <w:marRight w:val="0"/>
          <w:marTop w:val="0"/>
          <w:marBottom w:val="0"/>
          <w:divBdr>
            <w:top w:val="none" w:sz="0" w:space="0" w:color="auto"/>
            <w:left w:val="none" w:sz="0" w:space="0" w:color="auto"/>
            <w:bottom w:val="none" w:sz="0" w:space="0" w:color="auto"/>
            <w:right w:val="none" w:sz="0" w:space="0" w:color="auto"/>
          </w:divBdr>
        </w:div>
        <w:div w:id="1540510568">
          <w:marLeft w:val="0"/>
          <w:marRight w:val="0"/>
          <w:marTop w:val="0"/>
          <w:marBottom w:val="0"/>
          <w:divBdr>
            <w:top w:val="none" w:sz="0" w:space="0" w:color="auto"/>
            <w:left w:val="none" w:sz="0" w:space="0" w:color="auto"/>
            <w:bottom w:val="none" w:sz="0" w:space="0" w:color="auto"/>
            <w:right w:val="none" w:sz="0" w:space="0" w:color="auto"/>
          </w:divBdr>
        </w:div>
        <w:div w:id="1581326048">
          <w:marLeft w:val="0"/>
          <w:marRight w:val="0"/>
          <w:marTop w:val="0"/>
          <w:marBottom w:val="0"/>
          <w:divBdr>
            <w:top w:val="none" w:sz="0" w:space="0" w:color="auto"/>
            <w:left w:val="none" w:sz="0" w:space="0" w:color="auto"/>
            <w:bottom w:val="none" w:sz="0" w:space="0" w:color="auto"/>
            <w:right w:val="none" w:sz="0" w:space="0" w:color="auto"/>
          </w:divBdr>
        </w:div>
        <w:div w:id="1690178243">
          <w:marLeft w:val="0"/>
          <w:marRight w:val="0"/>
          <w:marTop w:val="0"/>
          <w:marBottom w:val="0"/>
          <w:divBdr>
            <w:top w:val="none" w:sz="0" w:space="0" w:color="auto"/>
            <w:left w:val="none" w:sz="0" w:space="0" w:color="auto"/>
            <w:bottom w:val="none" w:sz="0" w:space="0" w:color="auto"/>
            <w:right w:val="none" w:sz="0" w:space="0" w:color="auto"/>
          </w:divBdr>
        </w:div>
        <w:div w:id="1704280955">
          <w:marLeft w:val="0"/>
          <w:marRight w:val="0"/>
          <w:marTop w:val="0"/>
          <w:marBottom w:val="0"/>
          <w:divBdr>
            <w:top w:val="none" w:sz="0" w:space="0" w:color="auto"/>
            <w:left w:val="none" w:sz="0" w:space="0" w:color="auto"/>
            <w:bottom w:val="none" w:sz="0" w:space="0" w:color="auto"/>
            <w:right w:val="none" w:sz="0" w:space="0" w:color="auto"/>
          </w:divBdr>
        </w:div>
      </w:divsChild>
    </w:div>
    <w:div w:id="401759899">
      <w:bodyDiv w:val="1"/>
      <w:marLeft w:val="0"/>
      <w:marRight w:val="0"/>
      <w:marTop w:val="0"/>
      <w:marBottom w:val="0"/>
      <w:divBdr>
        <w:top w:val="none" w:sz="0" w:space="0" w:color="auto"/>
        <w:left w:val="none" w:sz="0" w:space="0" w:color="auto"/>
        <w:bottom w:val="none" w:sz="0" w:space="0" w:color="auto"/>
        <w:right w:val="none" w:sz="0" w:space="0" w:color="auto"/>
      </w:divBdr>
      <w:divsChild>
        <w:div w:id="76901311">
          <w:marLeft w:val="0"/>
          <w:marRight w:val="0"/>
          <w:marTop w:val="0"/>
          <w:marBottom w:val="0"/>
          <w:divBdr>
            <w:top w:val="none" w:sz="0" w:space="0" w:color="auto"/>
            <w:left w:val="none" w:sz="0" w:space="0" w:color="auto"/>
            <w:bottom w:val="none" w:sz="0" w:space="0" w:color="auto"/>
            <w:right w:val="none" w:sz="0" w:space="0" w:color="auto"/>
          </w:divBdr>
        </w:div>
        <w:div w:id="178013418">
          <w:marLeft w:val="0"/>
          <w:marRight w:val="0"/>
          <w:marTop w:val="0"/>
          <w:marBottom w:val="0"/>
          <w:divBdr>
            <w:top w:val="none" w:sz="0" w:space="0" w:color="auto"/>
            <w:left w:val="none" w:sz="0" w:space="0" w:color="auto"/>
            <w:bottom w:val="none" w:sz="0" w:space="0" w:color="auto"/>
            <w:right w:val="none" w:sz="0" w:space="0" w:color="auto"/>
          </w:divBdr>
        </w:div>
        <w:div w:id="511847292">
          <w:marLeft w:val="0"/>
          <w:marRight w:val="0"/>
          <w:marTop w:val="0"/>
          <w:marBottom w:val="0"/>
          <w:divBdr>
            <w:top w:val="none" w:sz="0" w:space="0" w:color="auto"/>
            <w:left w:val="none" w:sz="0" w:space="0" w:color="auto"/>
            <w:bottom w:val="none" w:sz="0" w:space="0" w:color="auto"/>
            <w:right w:val="none" w:sz="0" w:space="0" w:color="auto"/>
          </w:divBdr>
        </w:div>
        <w:div w:id="516625103">
          <w:marLeft w:val="0"/>
          <w:marRight w:val="0"/>
          <w:marTop w:val="0"/>
          <w:marBottom w:val="0"/>
          <w:divBdr>
            <w:top w:val="none" w:sz="0" w:space="0" w:color="auto"/>
            <w:left w:val="none" w:sz="0" w:space="0" w:color="auto"/>
            <w:bottom w:val="none" w:sz="0" w:space="0" w:color="auto"/>
            <w:right w:val="none" w:sz="0" w:space="0" w:color="auto"/>
          </w:divBdr>
        </w:div>
        <w:div w:id="740059777">
          <w:marLeft w:val="0"/>
          <w:marRight w:val="0"/>
          <w:marTop w:val="0"/>
          <w:marBottom w:val="0"/>
          <w:divBdr>
            <w:top w:val="none" w:sz="0" w:space="0" w:color="auto"/>
            <w:left w:val="none" w:sz="0" w:space="0" w:color="auto"/>
            <w:bottom w:val="none" w:sz="0" w:space="0" w:color="auto"/>
            <w:right w:val="none" w:sz="0" w:space="0" w:color="auto"/>
          </w:divBdr>
        </w:div>
        <w:div w:id="820196459">
          <w:marLeft w:val="0"/>
          <w:marRight w:val="0"/>
          <w:marTop w:val="0"/>
          <w:marBottom w:val="0"/>
          <w:divBdr>
            <w:top w:val="none" w:sz="0" w:space="0" w:color="auto"/>
            <w:left w:val="none" w:sz="0" w:space="0" w:color="auto"/>
            <w:bottom w:val="none" w:sz="0" w:space="0" w:color="auto"/>
            <w:right w:val="none" w:sz="0" w:space="0" w:color="auto"/>
          </w:divBdr>
        </w:div>
        <w:div w:id="918441066">
          <w:marLeft w:val="0"/>
          <w:marRight w:val="0"/>
          <w:marTop w:val="0"/>
          <w:marBottom w:val="0"/>
          <w:divBdr>
            <w:top w:val="none" w:sz="0" w:space="0" w:color="auto"/>
            <w:left w:val="none" w:sz="0" w:space="0" w:color="auto"/>
            <w:bottom w:val="none" w:sz="0" w:space="0" w:color="auto"/>
            <w:right w:val="none" w:sz="0" w:space="0" w:color="auto"/>
          </w:divBdr>
        </w:div>
        <w:div w:id="1439252002">
          <w:marLeft w:val="0"/>
          <w:marRight w:val="0"/>
          <w:marTop w:val="0"/>
          <w:marBottom w:val="0"/>
          <w:divBdr>
            <w:top w:val="none" w:sz="0" w:space="0" w:color="auto"/>
            <w:left w:val="none" w:sz="0" w:space="0" w:color="auto"/>
            <w:bottom w:val="none" w:sz="0" w:space="0" w:color="auto"/>
            <w:right w:val="none" w:sz="0" w:space="0" w:color="auto"/>
          </w:divBdr>
        </w:div>
        <w:div w:id="1459491759">
          <w:marLeft w:val="0"/>
          <w:marRight w:val="0"/>
          <w:marTop w:val="0"/>
          <w:marBottom w:val="0"/>
          <w:divBdr>
            <w:top w:val="none" w:sz="0" w:space="0" w:color="auto"/>
            <w:left w:val="none" w:sz="0" w:space="0" w:color="auto"/>
            <w:bottom w:val="none" w:sz="0" w:space="0" w:color="auto"/>
            <w:right w:val="none" w:sz="0" w:space="0" w:color="auto"/>
          </w:divBdr>
        </w:div>
        <w:div w:id="1567034188">
          <w:marLeft w:val="0"/>
          <w:marRight w:val="0"/>
          <w:marTop w:val="0"/>
          <w:marBottom w:val="0"/>
          <w:divBdr>
            <w:top w:val="none" w:sz="0" w:space="0" w:color="auto"/>
            <w:left w:val="none" w:sz="0" w:space="0" w:color="auto"/>
            <w:bottom w:val="none" w:sz="0" w:space="0" w:color="auto"/>
            <w:right w:val="none" w:sz="0" w:space="0" w:color="auto"/>
          </w:divBdr>
        </w:div>
        <w:div w:id="1567450653">
          <w:marLeft w:val="0"/>
          <w:marRight w:val="0"/>
          <w:marTop w:val="0"/>
          <w:marBottom w:val="0"/>
          <w:divBdr>
            <w:top w:val="none" w:sz="0" w:space="0" w:color="auto"/>
            <w:left w:val="none" w:sz="0" w:space="0" w:color="auto"/>
            <w:bottom w:val="none" w:sz="0" w:space="0" w:color="auto"/>
            <w:right w:val="none" w:sz="0" w:space="0" w:color="auto"/>
          </w:divBdr>
        </w:div>
        <w:div w:id="2106729251">
          <w:marLeft w:val="0"/>
          <w:marRight w:val="0"/>
          <w:marTop w:val="0"/>
          <w:marBottom w:val="0"/>
          <w:divBdr>
            <w:top w:val="none" w:sz="0" w:space="0" w:color="auto"/>
            <w:left w:val="none" w:sz="0" w:space="0" w:color="auto"/>
            <w:bottom w:val="none" w:sz="0" w:space="0" w:color="auto"/>
            <w:right w:val="none" w:sz="0" w:space="0" w:color="auto"/>
          </w:divBdr>
          <w:divsChild>
            <w:div w:id="358629874">
              <w:marLeft w:val="0"/>
              <w:marRight w:val="0"/>
              <w:marTop w:val="0"/>
              <w:marBottom w:val="0"/>
              <w:divBdr>
                <w:top w:val="none" w:sz="0" w:space="0" w:color="auto"/>
                <w:left w:val="none" w:sz="0" w:space="0" w:color="auto"/>
                <w:bottom w:val="none" w:sz="0" w:space="0" w:color="auto"/>
                <w:right w:val="none" w:sz="0" w:space="0" w:color="auto"/>
              </w:divBdr>
            </w:div>
            <w:div w:id="1016268514">
              <w:marLeft w:val="0"/>
              <w:marRight w:val="0"/>
              <w:marTop w:val="0"/>
              <w:marBottom w:val="0"/>
              <w:divBdr>
                <w:top w:val="none" w:sz="0" w:space="0" w:color="auto"/>
                <w:left w:val="none" w:sz="0" w:space="0" w:color="auto"/>
                <w:bottom w:val="none" w:sz="0" w:space="0" w:color="auto"/>
                <w:right w:val="none" w:sz="0" w:space="0" w:color="auto"/>
              </w:divBdr>
            </w:div>
            <w:div w:id="1710228775">
              <w:marLeft w:val="0"/>
              <w:marRight w:val="0"/>
              <w:marTop w:val="0"/>
              <w:marBottom w:val="0"/>
              <w:divBdr>
                <w:top w:val="none" w:sz="0" w:space="0" w:color="auto"/>
                <w:left w:val="none" w:sz="0" w:space="0" w:color="auto"/>
                <w:bottom w:val="none" w:sz="0" w:space="0" w:color="auto"/>
                <w:right w:val="none" w:sz="0" w:space="0" w:color="auto"/>
              </w:divBdr>
            </w:div>
            <w:div w:id="2002192830">
              <w:marLeft w:val="0"/>
              <w:marRight w:val="0"/>
              <w:marTop w:val="0"/>
              <w:marBottom w:val="0"/>
              <w:divBdr>
                <w:top w:val="none" w:sz="0" w:space="0" w:color="auto"/>
                <w:left w:val="none" w:sz="0" w:space="0" w:color="auto"/>
                <w:bottom w:val="none" w:sz="0" w:space="0" w:color="auto"/>
                <w:right w:val="none" w:sz="0" w:space="0" w:color="auto"/>
              </w:divBdr>
            </w:div>
          </w:divsChild>
        </w:div>
        <w:div w:id="2117752827">
          <w:marLeft w:val="0"/>
          <w:marRight w:val="0"/>
          <w:marTop w:val="0"/>
          <w:marBottom w:val="0"/>
          <w:divBdr>
            <w:top w:val="none" w:sz="0" w:space="0" w:color="auto"/>
            <w:left w:val="none" w:sz="0" w:space="0" w:color="auto"/>
            <w:bottom w:val="none" w:sz="0" w:space="0" w:color="auto"/>
            <w:right w:val="none" w:sz="0" w:space="0" w:color="auto"/>
          </w:divBdr>
        </w:div>
      </w:divsChild>
    </w:div>
    <w:div w:id="405886684">
      <w:bodyDiv w:val="1"/>
      <w:marLeft w:val="0"/>
      <w:marRight w:val="0"/>
      <w:marTop w:val="0"/>
      <w:marBottom w:val="0"/>
      <w:divBdr>
        <w:top w:val="none" w:sz="0" w:space="0" w:color="auto"/>
        <w:left w:val="none" w:sz="0" w:space="0" w:color="auto"/>
        <w:bottom w:val="none" w:sz="0" w:space="0" w:color="auto"/>
        <w:right w:val="none" w:sz="0" w:space="0" w:color="auto"/>
      </w:divBdr>
      <w:divsChild>
        <w:div w:id="477670">
          <w:marLeft w:val="0"/>
          <w:marRight w:val="0"/>
          <w:marTop w:val="0"/>
          <w:marBottom w:val="0"/>
          <w:divBdr>
            <w:top w:val="none" w:sz="0" w:space="0" w:color="auto"/>
            <w:left w:val="none" w:sz="0" w:space="0" w:color="auto"/>
            <w:bottom w:val="none" w:sz="0" w:space="0" w:color="auto"/>
            <w:right w:val="none" w:sz="0" w:space="0" w:color="auto"/>
          </w:divBdr>
        </w:div>
        <w:div w:id="285700130">
          <w:marLeft w:val="0"/>
          <w:marRight w:val="0"/>
          <w:marTop w:val="0"/>
          <w:marBottom w:val="0"/>
          <w:divBdr>
            <w:top w:val="none" w:sz="0" w:space="0" w:color="auto"/>
            <w:left w:val="none" w:sz="0" w:space="0" w:color="auto"/>
            <w:bottom w:val="none" w:sz="0" w:space="0" w:color="auto"/>
            <w:right w:val="none" w:sz="0" w:space="0" w:color="auto"/>
          </w:divBdr>
        </w:div>
        <w:div w:id="681663115">
          <w:marLeft w:val="0"/>
          <w:marRight w:val="0"/>
          <w:marTop w:val="0"/>
          <w:marBottom w:val="0"/>
          <w:divBdr>
            <w:top w:val="none" w:sz="0" w:space="0" w:color="auto"/>
            <w:left w:val="none" w:sz="0" w:space="0" w:color="auto"/>
            <w:bottom w:val="none" w:sz="0" w:space="0" w:color="auto"/>
            <w:right w:val="none" w:sz="0" w:space="0" w:color="auto"/>
          </w:divBdr>
        </w:div>
        <w:div w:id="1105032724">
          <w:marLeft w:val="0"/>
          <w:marRight w:val="0"/>
          <w:marTop w:val="0"/>
          <w:marBottom w:val="0"/>
          <w:divBdr>
            <w:top w:val="none" w:sz="0" w:space="0" w:color="auto"/>
            <w:left w:val="none" w:sz="0" w:space="0" w:color="auto"/>
            <w:bottom w:val="none" w:sz="0" w:space="0" w:color="auto"/>
            <w:right w:val="none" w:sz="0" w:space="0" w:color="auto"/>
          </w:divBdr>
        </w:div>
        <w:div w:id="1750156493">
          <w:marLeft w:val="0"/>
          <w:marRight w:val="0"/>
          <w:marTop w:val="0"/>
          <w:marBottom w:val="0"/>
          <w:divBdr>
            <w:top w:val="none" w:sz="0" w:space="0" w:color="auto"/>
            <w:left w:val="none" w:sz="0" w:space="0" w:color="auto"/>
            <w:bottom w:val="none" w:sz="0" w:space="0" w:color="auto"/>
            <w:right w:val="none" w:sz="0" w:space="0" w:color="auto"/>
          </w:divBdr>
        </w:div>
        <w:div w:id="2008971350">
          <w:marLeft w:val="0"/>
          <w:marRight w:val="0"/>
          <w:marTop w:val="0"/>
          <w:marBottom w:val="0"/>
          <w:divBdr>
            <w:top w:val="none" w:sz="0" w:space="0" w:color="auto"/>
            <w:left w:val="none" w:sz="0" w:space="0" w:color="auto"/>
            <w:bottom w:val="none" w:sz="0" w:space="0" w:color="auto"/>
            <w:right w:val="none" w:sz="0" w:space="0" w:color="auto"/>
          </w:divBdr>
        </w:div>
        <w:div w:id="2037071611">
          <w:marLeft w:val="0"/>
          <w:marRight w:val="0"/>
          <w:marTop w:val="0"/>
          <w:marBottom w:val="0"/>
          <w:divBdr>
            <w:top w:val="none" w:sz="0" w:space="0" w:color="auto"/>
            <w:left w:val="none" w:sz="0" w:space="0" w:color="auto"/>
            <w:bottom w:val="none" w:sz="0" w:space="0" w:color="auto"/>
            <w:right w:val="none" w:sz="0" w:space="0" w:color="auto"/>
          </w:divBdr>
        </w:div>
      </w:divsChild>
    </w:div>
    <w:div w:id="417291819">
      <w:bodyDiv w:val="1"/>
      <w:marLeft w:val="0"/>
      <w:marRight w:val="0"/>
      <w:marTop w:val="0"/>
      <w:marBottom w:val="0"/>
      <w:divBdr>
        <w:top w:val="none" w:sz="0" w:space="0" w:color="auto"/>
        <w:left w:val="none" w:sz="0" w:space="0" w:color="auto"/>
        <w:bottom w:val="none" w:sz="0" w:space="0" w:color="auto"/>
        <w:right w:val="none" w:sz="0" w:space="0" w:color="auto"/>
      </w:divBdr>
      <w:divsChild>
        <w:div w:id="1357073069">
          <w:marLeft w:val="0"/>
          <w:marRight w:val="0"/>
          <w:marTop w:val="0"/>
          <w:marBottom w:val="0"/>
          <w:divBdr>
            <w:top w:val="none" w:sz="0" w:space="0" w:color="auto"/>
            <w:left w:val="none" w:sz="0" w:space="0" w:color="auto"/>
            <w:bottom w:val="none" w:sz="0" w:space="0" w:color="auto"/>
            <w:right w:val="none" w:sz="0" w:space="0" w:color="auto"/>
          </w:divBdr>
        </w:div>
        <w:div w:id="1740326179">
          <w:marLeft w:val="0"/>
          <w:marRight w:val="0"/>
          <w:marTop w:val="0"/>
          <w:marBottom w:val="0"/>
          <w:divBdr>
            <w:top w:val="none" w:sz="0" w:space="0" w:color="auto"/>
            <w:left w:val="none" w:sz="0" w:space="0" w:color="auto"/>
            <w:bottom w:val="none" w:sz="0" w:space="0" w:color="auto"/>
            <w:right w:val="none" w:sz="0" w:space="0" w:color="auto"/>
          </w:divBdr>
        </w:div>
        <w:div w:id="1610314317">
          <w:marLeft w:val="0"/>
          <w:marRight w:val="0"/>
          <w:marTop w:val="0"/>
          <w:marBottom w:val="0"/>
          <w:divBdr>
            <w:top w:val="none" w:sz="0" w:space="0" w:color="auto"/>
            <w:left w:val="none" w:sz="0" w:space="0" w:color="auto"/>
            <w:bottom w:val="none" w:sz="0" w:space="0" w:color="auto"/>
            <w:right w:val="none" w:sz="0" w:space="0" w:color="auto"/>
          </w:divBdr>
        </w:div>
        <w:div w:id="321852569">
          <w:marLeft w:val="0"/>
          <w:marRight w:val="0"/>
          <w:marTop w:val="0"/>
          <w:marBottom w:val="0"/>
          <w:divBdr>
            <w:top w:val="none" w:sz="0" w:space="0" w:color="auto"/>
            <w:left w:val="none" w:sz="0" w:space="0" w:color="auto"/>
            <w:bottom w:val="none" w:sz="0" w:space="0" w:color="auto"/>
            <w:right w:val="none" w:sz="0" w:space="0" w:color="auto"/>
          </w:divBdr>
        </w:div>
        <w:div w:id="862205967">
          <w:marLeft w:val="0"/>
          <w:marRight w:val="0"/>
          <w:marTop w:val="0"/>
          <w:marBottom w:val="0"/>
          <w:divBdr>
            <w:top w:val="none" w:sz="0" w:space="0" w:color="auto"/>
            <w:left w:val="none" w:sz="0" w:space="0" w:color="auto"/>
            <w:bottom w:val="none" w:sz="0" w:space="0" w:color="auto"/>
            <w:right w:val="none" w:sz="0" w:space="0" w:color="auto"/>
          </w:divBdr>
        </w:div>
        <w:div w:id="985088463">
          <w:marLeft w:val="0"/>
          <w:marRight w:val="0"/>
          <w:marTop w:val="0"/>
          <w:marBottom w:val="0"/>
          <w:divBdr>
            <w:top w:val="none" w:sz="0" w:space="0" w:color="auto"/>
            <w:left w:val="none" w:sz="0" w:space="0" w:color="auto"/>
            <w:bottom w:val="none" w:sz="0" w:space="0" w:color="auto"/>
            <w:right w:val="none" w:sz="0" w:space="0" w:color="auto"/>
          </w:divBdr>
        </w:div>
        <w:div w:id="1129009159">
          <w:marLeft w:val="0"/>
          <w:marRight w:val="0"/>
          <w:marTop w:val="0"/>
          <w:marBottom w:val="0"/>
          <w:divBdr>
            <w:top w:val="none" w:sz="0" w:space="0" w:color="auto"/>
            <w:left w:val="none" w:sz="0" w:space="0" w:color="auto"/>
            <w:bottom w:val="none" w:sz="0" w:space="0" w:color="auto"/>
            <w:right w:val="none" w:sz="0" w:space="0" w:color="auto"/>
          </w:divBdr>
        </w:div>
        <w:div w:id="868683274">
          <w:marLeft w:val="0"/>
          <w:marRight w:val="0"/>
          <w:marTop w:val="0"/>
          <w:marBottom w:val="0"/>
          <w:divBdr>
            <w:top w:val="none" w:sz="0" w:space="0" w:color="auto"/>
            <w:left w:val="none" w:sz="0" w:space="0" w:color="auto"/>
            <w:bottom w:val="none" w:sz="0" w:space="0" w:color="auto"/>
            <w:right w:val="none" w:sz="0" w:space="0" w:color="auto"/>
          </w:divBdr>
        </w:div>
      </w:divsChild>
    </w:div>
    <w:div w:id="436028835">
      <w:bodyDiv w:val="1"/>
      <w:marLeft w:val="0"/>
      <w:marRight w:val="0"/>
      <w:marTop w:val="0"/>
      <w:marBottom w:val="0"/>
      <w:divBdr>
        <w:top w:val="none" w:sz="0" w:space="0" w:color="auto"/>
        <w:left w:val="none" w:sz="0" w:space="0" w:color="auto"/>
        <w:bottom w:val="none" w:sz="0" w:space="0" w:color="auto"/>
        <w:right w:val="none" w:sz="0" w:space="0" w:color="auto"/>
      </w:divBdr>
      <w:divsChild>
        <w:div w:id="103891020">
          <w:marLeft w:val="0"/>
          <w:marRight w:val="0"/>
          <w:marTop w:val="0"/>
          <w:marBottom w:val="0"/>
          <w:divBdr>
            <w:top w:val="none" w:sz="0" w:space="0" w:color="auto"/>
            <w:left w:val="none" w:sz="0" w:space="0" w:color="auto"/>
            <w:bottom w:val="none" w:sz="0" w:space="0" w:color="auto"/>
            <w:right w:val="none" w:sz="0" w:space="0" w:color="auto"/>
          </w:divBdr>
        </w:div>
        <w:div w:id="450982507">
          <w:marLeft w:val="0"/>
          <w:marRight w:val="0"/>
          <w:marTop w:val="0"/>
          <w:marBottom w:val="0"/>
          <w:divBdr>
            <w:top w:val="none" w:sz="0" w:space="0" w:color="auto"/>
            <w:left w:val="none" w:sz="0" w:space="0" w:color="auto"/>
            <w:bottom w:val="none" w:sz="0" w:space="0" w:color="auto"/>
            <w:right w:val="none" w:sz="0" w:space="0" w:color="auto"/>
          </w:divBdr>
        </w:div>
        <w:div w:id="642854080">
          <w:marLeft w:val="0"/>
          <w:marRight w:val="0"/>
          <w:marTop w:val="0"/>
          <w:marBottom w:val="0"/>
          <w:divBdr>
            <w:top w:val="none" w:sz="0" w:space="0" w:color="auto"/>
            <w:left w:val="none" w:sz="0" w:space="0" w:color="auto"/>
            <w:bottom w:val="none" w:sz="0" w:space="0" w:color="auto"/>
            <w:right w:val="none" w:sz="0" w:space="0" w:color="auto"/>
          </w:divBdr>
        </w:div>
        <w:div w:id="824200428">
          <w:marLeft w:val="0"/>
          <w:marRight w:val="0"/>
          <w:marTop w:val="0"/>
          <w:marBottom w:val="0"/>
          <w:divBdr>
            <w:top w:val="none" w:sz="0" w:space="0" w:color="auto"/>
            <w:left w:val="none" w:sz="0" w:space="0" w:color="auto"/>
            <w:bottom w:val="none" w:sz="0" w:space="0" w:color="auto"/>
            <w:right w:val="none" w:sz="0" w:space="0" w:color="auto"/>
          </w:divBdr>
        </w:div>
        <w:div w:id="1154638369">
          <w:marLeft w:val="0"/>
          <w:marRight w:val="0"/>
          <w:marTop w:val="0"/>
          <w:marBottom w:val="0"/>
          <w:divBdr>
            <w:top w:val="none" w:sz="0" w:space="0" w:color="auto"/>
            <w:left w:val="none" w:sz="0" w:space="0" w:color="auto"/>
            <w:bottom w:val="none" w:sz="0" w:space="0" w:color="auto"/>
            <w:right w:val="none" w:sz="0" w:space="0" w:color="auto"/>
          </w:divBdr>
        </w:div>
        <w:div w:id="1649475938">
          <w:marLeft w:val="0"/>
          <w:marRight w:val="0"/>
          <w:marTop w:val="0"/>
          <w:marBottom w:val="0"/>
          <w:divBdr>
            <w:top w:val="none" w:sz="0" w:space="0" w:color="auto"/>
            <w:left w:val="none" w:sz="0" w:space="0" w:color="auto"/>
            <w:bottom w:val="none" w:sz="0" w:space="0" w:color="auto"/>
            <w:right w:val="none" w:sz="0" w:space="0" w:color="auto"/>
          </w:divBdr>
        </w:div>
        <w:div w:id="2057386642">
          <w:marLeft w:val="0"/>
          <w:marRight w:val="0"/>
          <w:marTop w:val="0"/>
          <w:marBottom w:val="0"/>
          <w:divBdr>
            <w:top w:val="none" w:sz="0" w:space="0" w:color="auto"/>
            <w:left w:val="none" w:sz="0" w:space="0" w:color="auto"/>
            <w:bottom w:val="none" w:sz="0" w:space="0" w:color="auto"/>
            <w:right w:val="none" w:sz="0" w:space="0" w:color="auto"/>
          </w:divBdr>
        </w:div>
      </w:divsChild>
    </w:div>
    <w:div w:id="446509963">
      <w:bodyDiv w:val="1"/>
      <w:marLeft w:val="0"/>
      <w:marRight w:val="0"/>
      <w:marTop w:val="0"/>
      <w:marBottom w:val="0"/>
      <w:divBdr>
        <w:top w:val="none" w:sz="0" w:space="0" w:color="auto"/>
        <w:left w:val="none" w:sz="0" w:space="0" w:color="auto"/>
        <w:bottom w:val="none" w:sz="0" w:space="0" w:color="auto"/>
        <w:right w:val="none" w:sz="0" w:space="0" w:color="auto"/>
      </w:divBdr>
      <w:divsChild>
        <w:div w:id="312372516">
          <w:marLeft w:val="0"/>
          <w:marRight w:val="0"/>
          <w:marTop w:val="0"/>
          <w:marBottom w:val="0"/>
          <w:divBdr>
            <w:top w:val="none" w:sz="0" w:space="0" w:color="auto"/>
            <w:left w:val="none" w:sz="0" w:space="0" w:color="auto"/>
            <w:bottom w:val="none" w:sz="0" w:space="0" w:color="auto"/>
            <w:right w:val="none" w:sz="0" w:space="0" w:color="auto"/>
          </w:divBdr>
          <w:divsChild>
            <w:div w:id="729809756">
              <w:marLeft w:val="0"/>
              <w:marRight w:val="0"/>
              <w:marTop w:val="0"/>
              <w:marBottom w:val="0"/>
              <w:divBdr>
                <w:top w:val="none" w:sz="0" w:space="0" w:color="auto"/>
                <w:left w:val="none" w:sz="0" w:space="0" w:color="auto"/>
                <w:bottom w:val="none" w:sz="0" w:space="0" w:color="auto"/>
                <w:right w:val="none" w:sz="0" w:space="0" w:color="auto"/>
              </w:divBdr>
            </w:div>
            <w:div w:id="1282037109">
              <w:marLeft w:val="0"/>
              <w:marRight w:val="0"/>
              <w:marTop w:val="0"/>
              <w:marBottom w:val="0"/>
              <w:divBdr>
                <w:top w:val="none" w:sz="0" w:space="0" w:color="auto"/>
                <w:left w:val="none" w:sz="0" w:space="0" w:color="auto"/>
                <w:bottom w:val="none" w:sz="0" w:space="0" w:color="auto"/>
                <w:right w:val="none" w:sz="0" w:space="0" w:color="auto"/>
              </w:divBdr>
            </w:div>
            <w:div w:id="1633974044">
              <w:marLeft w:val="0"/>
              <w:marRight w:val="0"/>
              <w:marTop w:val="0"/>
              <w:marBottom w:val="0"/>
              <w:divBdr>
                <w:top w:val="none" w:sz="0" w:space="0" w:color="auto"/>
                <w:left w:val="none" w:sz="0" w:space="0" w:color="auto"/>
                <w:bottom w:val="none" w:sz="0" w:space="0" w:color="auto"/>
                <w:right w:val="none" w:sz="0" w:space="0" w:color="auto"/>
              </w:divBdr>
            </w:div>
            <w:div w:id="1910655966">
              <w:marLeft w:val="0"/>
              <w:marRight w:val="0"/>
              <w:marTop w:val="0"/>
              <w:marBottom w:val="0"/>
              <w:divBdr>
                <w:top w:val="none" w:sz="0" w:space="0" w:color="auto"/>
                <w:left w:val="none" w:sz="0" w:space="0" w:color="auto"/>
                <w:bottom w:val="none" w:sz="0" w:space="0" w:color="auto"/>
                <w:right w:val="none" w:sz="0" w:space="0" w:color="auto"/>
              </w:divBdr>
            </w:div>
          </w:divsChild>
        </w:div>
        <w:div w:id="1049720792">
          <w:marLeft w:val="0"/>
          <w:marRight w:val="0"/>
          <w:marTop w:val="0"/>
          <w:marBottom w:val="0"/>
          <w:divBdr>
            <w:top w:val="none" w:sz="0" w:space="0" w:color="auto"/>
            <w:left w:val="none" w:sz="0" w:space="0" w:color="auto"/>
            <w:bottom w:val="none" w:sz="0" w:space="0" w:color="auto"/>
            <w:right w:val="none" w:sz="0" w:space="0" w:color="auto"/>
          </w:divBdr>
        </w:div>
        <w:div w:id="1255632751">
          <w:marLeft w:val="0"/>
          <w:marRight w:val="0"/>
          <w:marTop w:val="0"/>
          <w:marBottom w:val="0"/>
          <w:divBdr>
            <w:top w:val="none" w:sz="0" w:space="0" w:color="auto"/>
            <w:left w:val="none" w:sz="0" w:space="0" w:color="auto"/>
            <w:bottom w:val="none" w:sz="0" w:space="0" w:color="auto"/>
            <w:right w:val="none" w:sz="0" w:space="0" w:color="auto"/>
          </w:divBdr>
        </w:div>
        <w:div w:id="1985624735">
          <w:marLeft w:val="0"/>
          <w:marRight w:val="0"/>
          <w:marTop w:val="0"/>
          <w:marBottom w:val="0"/>
          <w:divBdr>
            <w:top w:val="none" w:sz="0" w:space="0" w:color="auto"/>
            <w:left w:val="none" w:sz="0" w:space="0" w:color="auto"/>
            <w:bottom w:val="none" w:sz="0" w:space="0" w:color="auto"/>
            <w:right w:val="none" w:sz="0" w:space="0" w:color="auto"/>
          </w:divBdr>
          <w:divsChild>
            <w:div w:id="250310633">
              <w:marLeft w:val="0"/>
              <w:marRight w:val="0"/>
              <w:marTop w:val="0"/>
              <w:marBottom w:val="0"/>
              <w:divBdr>
                <w:top w:val="none" w:sz="0" w:space="0" w:color="auto"/>
                <w:left w:val="none" w:sz="0" w:space="0" w:color="auto"/>
                <w:bottom w:val="none" w:sz="0" w:space="0" w:color="auto"/>
                <w:right w:val="none" w:sz="0" w:space="0" w:color="auto"/>
              </w:divBdr>
            </w:div>
            <w:div w:id="506286404">
              <w:marLeft w:val="0"/>
              <w:marRight w:val="0"/>
              <w:marTop w:val="0"/>
              <w:marBottom w:val="0"/>
              <w:divBdr>
                <w:top w:val="none" w:sz="0" w:space="0" w:color="auto"/>
                <w:left w:val="none" w:sz="0" w:space="0" w:color="auto"/>
                <w:bottom w:val="none" w:sz="0" w:space="0" w:color="auto"/>
                <w:right w:val="none" w:sz="0" w:space="0" w:color="auto"/>
              </w:divBdr>
            </w:div>
            <w:div w:id="534661800">
              <w:marLeft w:val="0"/>
              <w:marRight w:val="0"/>
              <w:marTop w:val="0"/>
              <w:marBottom w:val="0"/>
              <w:divBdr>
                <w:top w:val="none" w:sz="0" w:space="0" w:color="auto"/>
                <w:left w:val="none" w:sz="0" w:space="0" w:color="auto"/>
                <w:bottom w:val="none" w:sz="0" w:space="0" w:color="auto"/>
                <w:right w:val="none" w:sz="0" w:space="0" w:color="auto"/>
              </w:divBdr>
            </w:div>
            <w:div w:id="958756725">
              <w:marLeft w:val="0"/>
              <w:marRight w:val="0"/>
              <w:marTop w:val="0"/>
              <w:marBottom w:val="0"/>
              <w:divBdr>
                <w:top w:val="none" w:sz="0" w:space="0" w:color="auto"/>
                <w:left w:val="none" w:sz="0" w:space="0" w:color="auto"/>
                <w:bottom w:val="none" w:sz="0" w:space="0" w:color="auto"/>
                <w:right w:val="none" w:sz="0" w:space="0" w:color="auto"/>
              </w:divBdr>
            </w:div>
            <w:div w:id="19349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655329">
      <w:bodyDiv w:val="1"/>
      <w:marLeft w:val="0"/>
      <w:marRight w:val="0"/>
      <w:marTop w:val="0"/>
      <w:marBottom w:val="0"/>
      <w:divBdr>
        <w:top w:val="none" w:sz="0" w:space="0" w:color="auto"/>
        <w:left w:val="none" w:sz="0" w:space="0" w:color="auto"/>
        <w:bottom w:val="none" w:sz="0" w:space="0" w:color="auto"/>
        <w:right w:val="none" w:sz="0" w:space="0" w:color="auto"/>
      </w:divBdr>
      <w:divsChild>
        <w:div w:id="35281864">
          <w:marLeft w:val="0"/>
          <w:marRight w:val="0"/>
          <w:marTop w:val="0"/>
          <w:marBottom w:val="0"/>
          <w:divBdr>
            <w:top w:val="none" w:sz="0" w:space="0" w:color="auto"/>
            <w:left w:val="none" w:sz="0" w:space="0" w:color="auto"/>
            <w:bottom w:val="none" w:sz="0" w:space="0" w:color="auto"/>
            <w:right w:val="none" w:sz="0" w:space="0" w:color="auto"/>
          </w:divBdr>
        </w:div>
        <w:div w:id="748649596">
          <w:marLeft w:val="0"/>
          <w:marRight w:val="0"/>
          <w:marTop w:val="0"/>
          <w:marBottom w:val="0"/>
          <w:divBdr>
            <w:top w:val="none" w:sz="0" w:space="0" w:color="auto"/>
            <w:left w:val="none" w:sz="0" w:space="0" w:color="auto"/>
            <w:bottom w:val="none" w:sz="0" w:space="0" w:color="auto"/>
            <w:right w:val="none" w:sz="0" w:space="0" w:color="auto"/>
          </w:divBdr>
        </w:div>
        <w:div w:id="910769990">
          <w:marLeft w:val="0"/>
          <w:marRight w:val="0"/>
          <w:marTop w:val="0"/>
          <w:marBottom w:val="0"/>
          <w:divBdr>
            <w:top w:val="none" w:sz="0" w:space="0" w:color="auto"/>
            <w:left w:val="none" w:sz="0" w:space="0" w:color="auto"/>
            <w:bottom w:val="none" w:sz="0" w:space="0" w:color="auto"/>
            <w:right w:val="none" w:sz="0" w:space="0" w:color="auto"/>
          </w:divBdr>
        </w:div>
        <w:div w:id="1302003744">
          <w:marLeft w:val="0"/>
          <w:marRight w:val="0"/>
          <w:marTop w:val="0"/>
          <w:marBottom w:val="0"/>
          <w:divBdr>
            <w:top w:val="none" w:sz="0" w:space="0" w:color="auto"/>
            <w:left w:val="none" w:sz="0" w:space="0" w:color="auto"/>
            <w:bottom w:val="none" w:sz="0" w:space="0" w:color="auto"/>
            <w:right w:val="none" w:sz="0" w:space="0" w:color="auto"/>
          </w:divBdr>
        </w:div>
        <w:div w:id="1377119138">
          <w:marLeft w:val="0"/>
          <w:marRight w:val="0"/>
          <w:marTop w:val="0"/>
          <w:marBottom w:val="0"/>
          <w:divBdr>
            <w:top w:val="none" w:sz="0" w:space="0" w:color="auto"/>
            <w:left w:val="none" w:sz="0" w:space="0" w:color="auto"/>
            <w:bottom w:val="none" w:sz="0" w:space="0" w:color="auto"/>
            <w:right w:val="none" w:sz="0" w:space="0" w:color="auto"/>
          </w:divBdr>
        </w:div>
        <w:div w:id="1493981381">
          <w:marLeft w:val="0"/>
          <w:marRight w:val="0"/>
          <w:marTop w:val="0"/>
          <w:marBottom w:val="0"/>
          <w:divBdr>
            <w:top w:val="none" w:sz="0" w:space="0" w:color="auto"/>
            <w:left w:val="none" w:sz="0" w:space="0" w:color="auto"/>
            <w:bottom w:val="none" w:sz="0" w:space="0" w:color="auto"/>
            <w:right w:val="none" w:sz="0" w:space="0" w:color="auto"/>
          </w:divBdr>
        </w:div>
      </w:divsChild>
    </w:div>
    <w:div w:id="474372562">
      <w:bodyDiv w:val="1"/>
      <w:marLeft w:val="0"/>
      <w:marRight w:val="0"/>
      <w:marTop w:val="0"/>
      <w:marBottom w:val="0"/>
      <w:divBdr>
        <w:top w:val="none" w:sz="0" w:space="0" w:color="auto"/>
        <w:left w:val="none" w:sz="0" w:space="0" w:color="auto"/>
        <w:bottom w:val="none" w:sz="0" w:space="0" w:color="auto"/>
        <w:right w:val="none" w:sz="0" w:space="0" w:color="auto"/>
      </w:divBdr>
      <w:divsChild>
        <w:div w:id="113138150">
          <w:marLeft w:val="0"/>
          <w:marRight w:val="0"/>
          <w:marTop w:val="0"/>
          <w:marBottom w:val="0"/>
          <w:divBdr>
            <w:top w:val="none" w:sz="0" w:space="0" w:color="auto"/>
            <w:left w:val="none" w:sz="0" w:space="0" w:color="auto"/>
            <w:bottom w:val="none" w:sz="0" w:space="0" w:color="auto"/>
            <w:right w:val="none" w:sz="0" w:space="0" w:color="auto"/>
          </w:divBdr>
        </w:div>
        <w:div w:id="212158474">
          <w:marLeft w:val="0"/>
          <w:marRight w:val="0"/>
          <w:marTop w:val="0"/>
          <w:marBottom w:val="0"/>
          <w:divBdr>
            <w:top w:val="none" w:sz="0" w:space="0" w:color="auto"/>
            <w:left w:val="none" w:sz="0" w:space="0" w:color="auto"/>
            <w:bottom w:val="none" w:sz="0" w:space="0" w:color="auto"/>
            <w:right w:val="none" w:sz="0" w:space="0" w:color="auto"/>
          </w:divBdr>
        </w:div>
        <w:div w:id="537624279">
          <w:marLeft w:val="0"/>
          <w:marRight w:val="0"/>
          <w:marTop w:val="0"/>
          <w:marBottom w:val="0"/>
          <w:divBdr>
            <w:top w:val="none" w:sz="0" w:space="0" w:color="auto"/>
            <w:left w:val="none" w:sz="0" w:space="0" w:color="auto"/>
            <w:bottom w:val="none" w:sz="0" w:space="0" w:color="auto"/>
            <w:right w:val="none" w:sz="0" w:space="0" w:color="auto"/>
          </w:divBdr>
        </w:div>
        <w:div w:id="849106963">
          <w:marLeft w:val="0"/>
          <w:marRight w:val="0"/>
          <w:marTop w:val="0"/>
          <w:marBottom w:val="0"/>
          <w:divBdr>
            <w:top w:val="none" w:sz="0" w:space="0" w:color="auto"/>
            <w:left w:val="none" w:sz="0" w:space="0" w:color="auto"/>
            <w:bottom w:val="none" w:sz="0" w:space="0" w:color="auto"/>
            <w:right w:val="none" w:sz="0" w:space="0" w:color="auto"/>
          </w:divBdr>
        </w:div>
        <w:div w:id="1198784622">
          <w:marLeft w:val="0"/>
          <w:marRight w:val="0"/>
          <w:marTop w:val="0"/>
          <w:marBottom w:val="0"/>
          <w:divBdr>
            <w:top w:val="none" w:sz="0" w:space="0" w:color="auto"/>
            <w:left w:val="none" w:sz="0" w:space="0" w:color="auto"/>
            <w:bottom w:val="none" w:sz="0" w:space="0" w:color="auto"/>
            <w:right w:val="none" w:sz="0" w:space="0" w:color="auto"/>
          </w:divBdr>
        </w:div>
        <w:div w:id="1224170788">
          <w:marLeft w:val="0"/>
          <w:marRight w:val="0"/>
          <w:marTop w:val="0"/>
          <w:marBottom w:val="0"/>
          <w:divBdr>
            <w:top w:val="none" w:sz="0" w:space="0" w:color="auto"/>
            <w:left w:val="none" w:sz="0" w:space="0" w:color="auto"/>
            <w:bottom w:val="none" w:sz="0" w:space="0" w:color="auto"/>
            <w:right w:val="none" w:sz="0" w:space="0" w:color="auto"/>
          </w:divBdr>
        </w:div>
        <w:div w:id="1491216153">
          <w:marLeft w:val="0"/>
          <w:marRight w:val="0"/>
          <w:marTop w:val="0"/>
          <w:marBottom w:val="0"/>
          <w:divBdr>
            <w:top w:val="none" w:sz="0" w:space="0" w:color="auto"/>
            <w:left w:val="none" w:sz="0" w:space="0" w:color="auto"/>
            <w:bottom w:val="none" w:sz="0" w:space="0" w:color="auto"/>
            <w:right w:val="none" w:sz="0" w:space="0" w:color="auto"/>
          </w:divBdr>
        </w:div>
        <w:div w:id="1525632899">
          <w:marLeft w:val="0"/>
          <w:marRight w:val="0"/>
          <w:marTop w:val="0"/>
          <w:marBottom w:val="0"/>
          <w:divBdr>
            <w:top w:val="none" w:sz="0" w:space="0" w:color="auto"/>
            <w:left w:val="none" w:sz="0" w:space="0" w:color="auto"/>
            <w:bottom w:val="none" w:sz="0" w:space="0" w:color="auto"/>
            <w:right w:val="none" w:sz="0" w:space="0" w:color="auto"/>
          </w:divBdr>
        </w:div>
        <w:div w:id="1809778461">
          <w:marLeft w:val="0"/>
          <w:marRight w:val="0"/>
          <w:marTop w:val="0"/>
          <w:marBottom w:val="0"/>
          <w:divBdr>
            <w:top w:val="none" w:sz="0" w:space="0" w:color="auto"/>
            <w:left w:val="none" w:sz="0" w:space="0" w:color="auto"/>
            <w:bottom w:val="none" w:sz="0" w:space="0" w:color="auto"/>
            <w:right w:val="none" w:sz="0" w:space="0" w:color="auto"/>
          </w:divBdr>
        </w:div>
        <w:div w:id="1829245775">
          <w:marLeft w:val="0"/>
          <w:marRight w:val="0"/>
          <w:marTop w:val="0"/>
          <w:marBottom w:val="0"/>
          <w:divBdr>
            <w:top w:val="none" w:sz="0" w:space="0" w:color="auto"/>
            <w:left w:val="none" w:sz="0" w:space="0" w:color="auto"/>
            <w:bottom w:val="none" w:sz="0" w:space="0" w:color="auto"/>
            <w:right w:val="none" w:sz="0" w:space="0" w:color="auto"/>
          </w:divBdr>
        </w:div>
        <w:div w:id="1836189538">
          <w:marLeft w:val="0"/>
          <w:marRight w:val="0"/>
          <w:marTop w:val="0"/>
          <w:marBottom w:val="0"/>
          <w:divBdr>
            <w:top w:val="none" w:sz="0" w:space="0" w:color="auto"/>
            <w:left w:val="none" w:sz="0" w:space="0" w:color="auto"/>
            <w:bottom w:val="none" w:sz="0" w:space="0" w:color="auto"/>
            <w:right w:val="none" w:sz="0" w:space="0" w:color="auto"/>
          </w:divBdr>
        </w:div>
        <w:div w:id="1912304936">
          <w:marLeft w:val="0"/>
          <w:marRight w:val="0"/>
          <w:marTop w:val="0"/>
          <w:marBottom w:val="0"/>
          <w:divBdr>
            <w:top w:val="none" w:sz="0" w:space="0" w:color="auto"/>
            <w:left w:val="none" w:sz="0" w:space="0" w:color="auto"/>
            <w:bottom w:val="none" w:sz="0" w:space="0" w:color="auto"/>
            <w:right w:val="none" w:sz="0" w:space="0" w:color="auto"/>
          </w:divBdr>
        </w:div>
        <w:div w:id="1972905323">
          <w:marLeft w:val="0"/>
          <w:marRight w:val="0"/>
          <w:marTop w:val="0"/>
          <w:marBottom w:val="0"/>
          <w:divBdr>
            <w:top w:val="none" w:sz="0" w:space="0" w:color="auto"/>
            <w:left w:val="none" w:sz="0" w:space="0" w:color="auto"/>
            <w:bottom w:val="none" w:sz="0" w:space="0" w:color="auto"/>
            <w:right w:val="none" w:sz="0" w:space="0" w:color="auto"/>
          </w:divBdr>
        </w:div>
        <w:div w:id="1998144252">
          <w:marLeft w:val="0"/>
          <w:marRight w:val="0"/>
          <w:marTop w:val="0"/>
          <w:marBottom w:val="0"/>
          <w:divBdr>
            <w:top w:val="none" w:sz="0" w:space="0" w:color="auto"/>
            <w:left w:val="none" w:sz="0" w:space="0" w:color="auto"/>
            <w:bottom w:val="none" w:sz="0" w:space="0" w:color="auto"/>
            <w:right w:val="none" w:sz="0" w:space="0" w:color="auto"/>
          </w:divBdr>
        </w:div>
        <w:div w:id="2073893572">
          <w:marLeft w:val="0"/>
          <w:marRight w:val="0"/>
          <w:marTop w:val="0"/>
          <w:marBottom w:val="0"/>
          <w:divBdr>
            <w:top w:val="none" w:sz="0" w:space="0" w:color="auto"/>
            <w:left w:val="none" w:sz="0" w:space="0" w:color="auto"/>
            <w:bottom w:val="none" w:sz="0" w:space="0" w:color="auto"/>
            <w:right w:val="none" w:sz="0" w:space="0" w:color="auto"/>
          </w:divBdr>
        </w:div>
        <w:div w:id="2136561076">
          <w:marLeft w:val="0"/>
          <w:marRight w:val="0"/>
          <w:marTop w:val="0"/>
          <w:marBottom w:val="0"/>
          <w:divBdr>
            <w:top w:val="none" w:sz="0" w:space="0" w:color="auto"/>
            <w:left w:val="none" w:sz="0" w:space="0" w:color="auto"/>
            <w:bottom w:val="none" w:sz="0" w:space="0" w:color="auto"/>
            <w:right w:val="none" w:sz="0" w:space="0" w:color="auto"/>
          </w:divBdr>
        </w:div>
      </w:divsChild>
    </w:div>
    <w:div w:id="483544828">
      <w:bodyDiv w:val="1"/>
      <w:marLeft w:val="0"/>
      <w:marRight w:val="0"/>
      <w:marTop w:val="0"/>
      <w:marBottom w:val="0"/>
      <w:divBdr>
        <w:top w:val="none" w:sz="0" w:space="0" w:color="auto"/>
        <w:left w:val="none" w:sz="0" w:space="0" w:color="auto"/>
        <w:bottom w:val="none" w:sz="0" w:space="0" w:color="auto"/>
        <w:right w:val="none" w:sz="0" w:space="0" w:color="auto"/>
      </w:divBdr>
      <w:divsChild>
        <w:div w:id="18898606">
          <w:marLeft w:val="0"/>
          <w:marRight w:val="0"/>
          <w:marTop w:val="0"/>
          <w:marBottom w:val="0"/>
          <w:divBdr>
            <w:top w:val="none" w:sz="0" w:space="0" w:color="auto"/>
            <w:left w:val="none" w:sz="0" w:space="0" w:color="auto"/>
            <w:bottom w:val="none" w:sz="0" w:space="0" w:color="auto"/>
            <w:right w:val="none" w:sz="0" w:space="0" w:color="auto"/>
          </w:divBdr>
        </w:div>
        <w:div w:id="60688077">
          <w:marLeft w:val="0"/>
          <w:marRight w:val="0"/>
          <w:marTop w:val="0"/>
          <w:marBottom w:val="0"/>
          <w:divBdr>
            <w:top w:val="none" w:sz="0" w:space="0" w:color="auto"/>
            <w:left w:val="none" w:sz="0" w:space="0" w:color="auto"/>
            <w:bottom w:val="none" w:sz="0" w:space="0" w:color="auto"/>
            <w:right w:val="none" w:sz="0" w:space="0" w:color="auto"/>
          </w:divBdr>
        </w:div>
        <w:div w:id="375157193">
          <w:marLeft w:val="0"/>
          <w:marRight w:val="0"/>
          <w:marTop w:val="0"/>
          <w:marBottom w:val="0"/>
          <w:divBdr>
            <w:top w:val="none" w:sz="0" w:space="0" w:color="auto"/>
            <w:left w:val="none" w:sz="0" w:space="0" w:color="auto"/>
            <w:bottom w:val="none" w:sz="0" w:space="0" w:color="auto"/>
            <w:right w:val="none" w:sz="0" w:space="0" w:color="auto"/>
          </w:divBdr>
        </w:div>
        <w:div w:id="838932028">
          <w:marLeft w:val="0"/>
          <w:marRight w:val="0"/>
          <w:marTop w:val="0"/>
          <w:marBottom w:val="0"/>
          <w:divBdr>
            <w:top w:val="none" w:sz="0" w:space="0" w:color="auto"/>
            <w:left w:val="none" w:sz="0" w:space="0" w:color="auto"/>
            <w:bottom w:val="none" w:sz="0" w:space="0" w:color="auto"/>
            <w:right w:val="none" w:sz="0" w:space="0" w:color="auto"/>
          </w:divBdr>
        </w:div>
        <w:div w:id="932517672">
          <w:marLeft w:val="0"/>
          <w:marRight w:val="0"/>
          <w:marTop w:val="0"/>
          <w:marBottom w:val="0"/>
          <w:divBdr>
            <w:top w:val="none" w:sz="0" w:space="0" w:color="auto"/>
            <w:left w:val="none" w:sz="0" w:space="0" w:color="auto"/>
            <w:bottom w:val="none" w:sz="0" w:space="0" w:color="auto"/>
            <w:right w:val="none" w:sz="0" w:space="0" w:color="auto"/>
          </w:divBdr>
        </w:div>
        <w:div w:id="1143037082">
          <w:marLeft w:val="0"/>
          <w:marRight w:val="0"/>
          <w:marTop w:val="0"/>
          <w:marBottom w:val="0"/>
          <w:divBdr>
            <w:top w:val="none" w:sz="0" w:space="0" w:color="auto"/>
            <w:left w:val="none" w:sz="0" w:space="0" w:color="auto"/>
            <w:bottom w:val="none" w:sz="0" w:space="0" w:color="auto"/>
            <w:right w:val="none" w:sz="0" w:space="0" w:color="auto"/>
          </w:divBdr>
        </w:div>
        <w:div w:id="1300719232">
          <w:marLeft w:val="0"/>
          <w:marRight w:val="0"/>
          <w:marTop w:val="0"/>
          <w:marBottom w:val="0"/>
          <w:divBdr>
            <w:top w:val="none" w:sz="0" w:space="0" w:color="auto"/>
            <w:left w:val="none" w:sz="0" w:space="0" w:color="auto"/>
            <w:bottom w:val="none" w:sz="0" w:space="0" w:color="auto"/>
            <w:right w:val="none" w:sz="0" w:space="0" w:color="auto"/>
          </w:divBdr>
        </w:div>
        <w:div w:id="1378045947">
          <w:marLeft w:val="0"/>
          <w:marRight w:val="0"/>
          <w:marTop w:val="0"/>
          <w:marBottom w:val="0"/>
          <w:divBdr>
            <w:top w:val="none" w:sz="0" w:space="0" w:color="auto"/>
            <w:left w:val="none" w:sz="0" w:space="0" w:color="auto"/>
            <w:bottom w:val="none" w:sz="0" w:space="0" w:color="auto"/>
            <w:right w:val="none" w:sz="0" w:space="0" w:color="auto"/>
          </w:divBdr>
        </w:div>
        <w:div w:id="1446119748">
          <w:marLeft w:val="0"/>
          <w:marRight w:val="0"/>
          <w:marTop w:val="0"/>
          <w:marBottom w:val="0"/>
          <w:divBdr>
            <w:top w:val="none" w:sz="0" w:space="0" w:color="auto"/>
            <w:left w:val="none" w:sz="0" w:space="0" w:color="auto"/>
            <w:bottom w:val="none" w:sz="0" w:space="0" w:color="auto"/>
            <w:right w:val="none" w:sz="0" w:space="0" w:color="auto"/>
          </w:divBdr>
        </w:div>
        <w:div w:id="1596861503">
          <w:marLeft w:val="0"/>
          <w:marRight w:val="0"/>
          <w:marTop w:val="0"/>
          <w:marBottom w:val="0"/>
          <w:divBdr>
            <w:top w:val="none" w:sz="0" w:space="0" w:color="auto"/>
            <w:left w:val="none" w:sz="0" w:space="0" w:color="auto"/>
            <w:bottom w:val="none" w:sz="0" w:space="0" w:color="auto"/>
            <w:right w:val="none" w:sz="0" w:space="0" w:color="auto"/>
          </w:divBdr>
        </w:div>
        <w:div w:id="1691176199">
          <w:marLeft w:val="0"/>
          <w:marRight w:val="0"/>
          <w:marTop w:val="0"/>
          <w:marBottom w:val="0"/>
          <w:divBdr>
            <w:top w:val="none" w:sz="0" w:space="0" w:color="auto"/>
            <w:left w:val="none" w:sz="0" w:space="0" w:color="auto"/>
            <w:bottom w:val="none" w:sz="0" w:space="0" w:color="auto"/>
            <w:right w:val="none" w:sz="0" w:space="0" w:color="auto"/>
          </w:divBdr>
        </w:div>
        <w:div w:id="1923026216">
          <w:marLeft w:val="0"/>
          <w:marRight w:val="0"/>
          <w:marTop w:val="0"/>
          <w:marBottom w:val="0"/>
          <w:divBdr>
            <w:top w:val="none" w:sz="0" w:space="0" w:color="auto"/>
            <w:left w:val="none" w:sz="0" w:space="0" w:color="auto"/>
            <w:bottom w:val="none" w:sz="0" w:space="0" w:color="auto"/>
            <w:right w:val="none" w:sz="0" w:space="0" w:color="auto"/>
          </w:divBdr>
        </w:div>
        <w:div w:id="2024696435">
          <w:marLeft w:val="0"/>
          <w:marRight w:val="0"/>
          <w:marTop w:val="0"/>
          <w:marBottom w:val="0"/>
          <w:divBdr>
            <w:top w:val="none" w:sz="0" w:space="0" w:color="auto"/>
            <w:left w:val="none" w:sz="0" w:space="0" w:color="auto"/>
            <w:bottom w:val="none" w:sz="0" w:space="0" w:color="auto"/>
            <w:right w:val="none" w:sz="0" w:space="0" w:color="auto"/>
          </w:divBdr>
        </w:div>
        <w:div w:id="2137789847">
          <w:marLeft w:val="0"/>
          <w:marRight w:val="0"/>
          <w:marTop w:val="0"/>
          <w:marBottom w:val="0"/>
          <w:divBdr>
            <w:top w:val="none" w:sz="0" w:space="0" w:color="auto"/>
            <w:left w:val="none" w:sz="0" w:space="0" w:color="auto"/>
            <w:bottom w:val="none" w:sz="0" w:space="0" w:color="auto"/>
            <w:right w:val="none" w:sz="0" w:space="0" w:color="auto"/>
          </w:divBdr>
        </w:div>
      </w:divsChild>
    </w:div>
    <w:div w:id="490759469">
      <w:bodyDiv w:val="1"/>
      <w:marLeft w:val="0"/>
      <w:marRight w:val="0"/>
      <w:marTop w:val="0"/>
      <w:marBottom w:val="0"/>
      <w:divBdr>
        <w:top w:val="none" w:sz="0" w:space="0" w:color="auto"/>
        <w:left w:val="none" w:sz="0" w:space="0" w:color="auto"/>
        <w:bottom w:val="none" w:sz="0" w:space="0" w:color="auto"/>
        <w:right w:val="none" w:sz="0" w:space="0" w:color="auto"/>
      </w:divBdr>
      <w:divsChild>
        <w:div w:id="75523254">
          <w:marLeft w:val="0"/>
          <w:marRight w:val="0"/>
          <w:marTop w:val="0"/>
          <w:marBottom w:val="0"/>
          <w:divBdr>
            <w:top w:val="none" w:sz="0" w:space="0" w:color="auto"/>
            <w:left w:val="none" w:sz="0" w:space="0" w:color="auto"/>
            <w:bottom w:val="none" w:sz="0" w:space="0" w:color="auto"/>
            <w:right w:val="none" w:sz="0" w:space="0" w:color="auto"/>
          </w:divBdr>
        </w:div>
        <w:div w:id="86926280">
          <w:marLeft w:val="0"/>
          <w:marRight w:val="0"/>
          <w:marTop w:val="0"/>
          <w:marBottom w:val="0"/>
          <w:divBdr>
            <w:top w:val="none" w:sz="0" w:space="0" w:color="auto"/>
            <w:left w:val="none" w:sz="0" w:space="0" w:color="auto"/>
            <w:bottom w:val="none" w:sz="0" w:space="0" w:color="auto"/>
            <w:right w:val="none" w:sz="0" w:space="0" w:color="auto"/>
          </w:divBdr>
        </w:div>
        <w:div w:id="202406672">
          <w:marLeft w:val="0"/>
          <w:marRight w:val="0"/>
          <w:marTop w:val="0"/>
          <w:marBottom w:val="0"/>
          <w:divBdr>
            <w:top w:val="none" w:sz="0" w:space="0" w:color="auto"/>
            <w:left w:val="none" w:sz="0" w:space="0" w:color="auto"/>
            <w:bottom w:val="none" w:sz="0" w:space="0" w:color="auto"/>
            <w:right w:val="none" w:sz="0" w:space="0" w:color="auto"/>
          </w:divBdr>
        </w:div>
        <w:div w:id="387385581">
          <w:marLeft w:val="0"/>
          <w:marRight w:val="0"/>
          <w:marTop w:val="0"/>
          <w:marBottom w:val="0"/>
          <w:divBdr>
            <w:top w:val="none" w:sz="0" w:space="0" w:color="auto"/>
            <w:left w:val="none" w:sz="0" w:space="0" w:color="auto"/>
            <w:bottom w:val="none" w:sz="0" w:space="0" w:color="auto"/>
            <w:right w:val="none" w:sz="0" w:space="0" w:color="auto"/>
          </w:divBdr>
        </w:div>
        <w:div w:id="938871199">
          <w:marLeft w:val="0"/>
          <w:marRight w:val="0"/>
          <w:marTop w:val="0"/>
          <w:marBottom w:val="0"/>
          <w:divBdr>
            <w:top w:val="none" w:sz="0" w:space="0" w:color="auto"/>
            <w:left w:val="none" w:sz="0" w:space="0" w:color="auto"/>
            <w:bottom w:val="none" w:sz="0" w:space="0" w:color="auto"/>
            <w:right w:val="none" w:sz="0" w:space="0" w:color="auto"/>
          </w:divBdr>
        </w:div>
        <w:div w:id="939875487">
          <w:marLeft w:val="0"/>
          <w:marRight w:val="0"/>
          <w:marTop w:val="0"/>
          <w:marBottom w:val="0"/>
          <w:divBdr>
            <w:top w:val="none" w:sz="0" w:space="0" w:color="auto"/>
            <w:left w:val="none" w:sz="0" w:space="0" w:color="auto"/>
            <w:bottom w:val="none" w:sz="0" w:space="0" w:color="auto"/>
            <w:right w:val="none" w:sz="0" w:space="0" w:color="auto"/>
          </w:divBdr>
        </w:div>
        <w:div w:id="945117899">
          <w:marLeft w:val="0"/>
          <w:marRight w:val="0"/>
          <w:marTop w:val="0"/>
          <w:marBottom w:val="0"/>
          <w:divBdr>
            <w:top w:val="none" w:sz="0" w:space="0" w:color="auto"/>
            <w:left w:val="none" w:sz="0" w:space="0" w:color="auto"/>
            <w:bottom w:val="none" w:sz="0" w:space="0" w:color="auto"/>
            <w:right w:val="none" w:sz="0" w:space="0" w:color="auto"/>
          </w:divBdr>
        </w:div>
        <w:div w:id="954943387">
          <w:marLeft w:val="0"/>
          <w:marRight w:val="0"/>
          <w:marTop w:val="0"/>
          <w:marBottom w:val="0"/>
          <w:divBdr>
            <w:top w:val="none" w:sz="0" w:space="0" w:color="auto"/>
            <w:left w:val="none" w:sz="0" w:space="0" w:color="auto"/>
            <w:bottom w:val="none" w:sz="0" w:space="0" w:color="auto"/>
            <w:right w:val="none" w:sz="0" w:space="0" w:color="auto"/>
          </w:divBdr>
        </w:div>
        <w:div w:id="987129556">
          <w:marLeft w:val="0"/>
          <w:marRight w:val="0"/>
          <w:marTop w:val="0"/>
          <w:marBottom w:val="0"/>
          <w:divBdr>
            <w:top w:val="none" w:sz="0" w:space="0" w:color="auto"/>
            <w:left w:val="none" w:sz="0" w:space="0" w:color="auto"/>
            <w:bottom w:val="none" w:sz="0" w:space="0" w:color="auto"/>
            <w:right w:val="none" w:sz="0" w:space="0" w:color="auto"/>
          </w:divBdr>
        </w:div>
        <w:div w:id="1275594160">
          <w:marLeft w:val="0"/>
          <w:marRight w:val="0"/>
          <w:marTop w:val="0"/>
          <w:marBottom w:val="0"/>
          <w:divBdr>
            <w:top w:val="none" w:sz="0" w:space="0" w:color="auto"/>
            <w:left w:val="none" w:sz="0" w:space="0" w:color="auto"/>
            <w:bottom w:val="none" w:sz="0" w:space="0" w:color="auto"/>
            <w:right w:val="none" w:sz="0" w:space="0" w:color="auto"/>
          </w:divBdr>
        </w:div>
        <w:div w:id="1468624043">
          <w:marLeft w:val="0"/>
          <w:marRight w:val="0"/>
          <w:marTop w:val="0"/>
          <w:marBottom w:val="0"/>
          <w:divBdr>
            <w:top w:val="none" w:sz="0" w:space="0" w:color="auto"/>
            <w:left w:val="none" w:sz="0" w:space="0" w:color="auto"/>
            <w:bottom w:val="none" w:sz="0" w:space="0" w:color="auto"/>
            <w:right w:val="none" w:sz="0" w:space="0" w:color="auto"/>
          </w:divBdr>
        </w:div>
        <w:div w:id="1539854960">
          <w:marLeft w:val="0"/>
          <w:marRight w:val="0"/>
          <w:marTop w:val="0"/>
          <w:marBottom w:val="0"/>
          <w:divBdr>
            <w:top w:val="none" w:sz="0" w:space="0" w:color="auto"/>
            <w:left w:val="none" w:sz="0" w:space="0" w:color="auto"/>
            <w:bottom w:val="none" w:sz="0" w:space="0" w:color="auto"/>
            <w:right w:val="none" w:sz="0" w:space="0" w:color="auto"/>
          </w:divBdr>
        </w:div>
        <w:div w:id="1561330994">
          <w:marLeft w:val="0"/>
          <w:marRight w:val="0"/>
          <w:marTop w:val="0"/>
          <w:marBottom w:val="0"/>
          <w:divBdr>
            <w:top w:val="none" w:sz="0" w:space="0" w:color="auto"/>
            <w:left w:val="none" w:sz="0" w:space="0" w:color="auto"/>
            <w:bottom w:val="none" w:sz="0" w:space="0" w:color="auto"/>
            <w:right w:val="none" w:sz="0" w:space="0" w:color="auto"/>
          </w:divBdr>
        </w:div>
        <w:div w:id="1957372819">
          <w:marLeft w:val="0"/>
          <w:marRight w:val="0"/>
          <w:marTop w:val="0"/>
          <w:marBottom w:val="0"/>
          <w:divBdr>
            <w:top w:val="none" w:sz="0" w:space="0" w:color="auto"/>
            <w:left w:val="none" w:sz="0" w:space="0" w:color="auto"/>
            <w:bottom w:val="none" w:sz="0" w:space="0" w:color="auto"/>
            <w:right w:val="none" w:sz="0" w:space="0" w:color="auto"/>
          </w:divBdr>
        </w:div>
      </w:divsChild>
    </w:div>
    <w:div w:id="502361879">
      <w:bodyDiv w:val="1"/>
      <w:marLeft w:val="0"/>
      <w:marRight w:val="0"/>
      <w:marTop w:val="0"/>
      <w:marBottom w:val="0"/>
      <w:divBdr>
        <w:top w:val="none" w:sz="0" w:space="0" w:color="auto"/>
        <w:left w:val="none" w:sz="0" w:space="0" w:color="auto"/>
        <w:bottom w:val="none" w:sz="0" w:space="0" w:color="auto"/>
        <w:right w:val="none" w:sz="0" w:space="0" w:color="auto"/>
      </w:divBdr>
      <w:divsChild>
        <w:div w:id="299384032">
          <w:marLeft w:val="0"/>
          <w:marRight w:val="0"/>
          <w:marTop w:val="0"/>
          <w:marBottom w:val="0"/>
          <w:divBdr>
            <w:top w:val="none" w:sz="0" w:space="0" w:color="auto"/>
            <w:left w:val="none" w:sz="0" w:space="0" w:color="auto"/>
            <w:bottom w:val="none" w:sz="0" w:space="0" w:color="auto"/>
            <w:right w:val="none" w:sz="0" w:space="0" w:color="auto"/>
          </w:divBdr>
        </w:div>
        <w:div w:id="712386457">
          <w:marLeft w:val="0"/>
          <w:marRight w:val="0"/>
          <w:marTop w:val="0"/>
          <w:marBottom w:val="0"/>
          <w:divBdr>
            <w:top w:val="none" w:sz="0" w:space="0" w:color="auto"/>
            <w:left w:val="none" w:sz="0" w:space="0" w:color="auto"/>
            <w:bottom w:val="none" w:sz="0" w:space="0" w:color="auto"/>
            <w:right w:val="none" w:sz="0" w:space="0" w:color="auto"/>
          </w:divBdr>
        </w:div>
        <w:div w:id="1194727339">
          <w:marLeft w:val="0"/>
          <w:marRight w:val="0"/>
          <w:marTop w:val="0"/>
          <w:marBottom w:val="0"/>
          <w:divBdr>
            <w:top w:val="none" w:sz="0" w:space="0" w:color="auto"/>
            <w:left w:val="none" w:sz="0" w:space="0" w:color="auto"/>
            <w:bottom w:val="none" w:sz="0" w:space="0" w:color="auto"/>
            <w:right w:val="none" w:sz="0" w:space="0" w:color="auto"/>
          </w:divBdr>
        </w:div>
        <w:div w:id="1304576703">
          <w:marLeft w:val="0"/>
          <w:marRight w:val="0"/>
          <w:marTop w:val="0"/>
          <w:marBottom w:val="0"/>
          <w:divBdr>
            <w:top w:val="none" w:sz="0" w:space="0" w:color="auto"/>
            <w:left w:val="none" w:sz="0" w:space="0" w:color="auto"/>
            <w:bottom w:val="none" w:sz="0" w:space="0" w:color="auto"/>
            <w:right w:val="none" w:sz="0" w:space="0" w:color="auto"/>
          </w:divBdr>
        </w:div>
        <w:div w:id="1785417972">
          <w:marLeft w:val="0"/>
          <w:marRight w:val="0"/>
          <w:marTop w:val="0"/>
          <w:marBottom w:val="0"/>
          <w:divBdr>
            <w:top w:val="none" w:sz="0" w:space="0" w:color="auto"/>
            <w:left w:val="none" w:sz="0" w:space="0" w:color="auto"/>
            <w:bottom w:val="none" w:sz="0" w:space="0" w:color="auto"/>
            <w:right w:val="none" w:sz="0" w:space="0" w:color="auto"/>
          </w:divBdr>
        </w:div>
      </w:divsChild>
    </w:div>
    <w:div w:id="513769219">
      <w:bodyDiv w:val="1"/>
      <w:marLeft w:val="0"/>
      <w:marRight w:val="0"/>
      <w:marTop w:val="0"/>
      <w:marBottom w:val="0"/>
      <w:divBdr>
        <w:top w:val="none" w:sz="0" w:space="0" w:color="auto"/>
        <w:left w:val="none" w:sz="0" w:space="0" w:color="auto"/>
        <w:bottom w:val="none" w:sz="0" w:space="0" w:color="auto"/>
        <w:right w:val="none" w:sz="0" w:space="0" w:color="auto"/>
      </w:divBdr>
      <w:divsChild>
        <w:div w:id="590315164">
          <w:marLeft w:val="0"/>
          <w:marRight w:val="0"/>
          <w:marTop w:val="0"/>
          <w:marBottom w:val="0"/>
          <w:divBdr>
            <w:top w:val="none" w:sz="0" w:space="0" w:color="auto"/>
            <w:left w:val="none" w:sz="0" w:space="0" w:color="auto"/>
            <w:bottom w:val="none" w:sz="0" w:space="0" w:color="auto"/>
            <w:right w:val="none" w:sz="0" w:space="0" w:color="auto"/>
          </w:divBdr>
        </w:div>
        <w:div w:id="631442380">
          <w:marLeft w:val="0"/>
          <w:marRight w:val="0"/>
          <w:marTop w:val="0"/>
          <w:marBottom w:val="0"/>
          <w:divBdr>
            <w:top w:val="none" w:sz="0" w:space="0" w:color="auto"/>
            <w:left w:val="none" w:sz="0" w:space="0" w:color="auto"/>
            <w:bottom w:val="none" w:sz="0" w:space="0" w:color="auto"/>
            <w:right w:val="none" w:sz="0" w:space="0" w:color="auto"/>
          </w:divBdr>
        </w:div>
        <w:div w:id="1690251807">
          <w:marLeft w:val="0"/>
          <w:marRight w:val="0"/>
          <w:marTop w:val="0"/>
          <w:marBottom w:val="0"/>
          <w:divBdr>
            <w:top w:val="none" w:sz="0" w:space="0" w:color="auto"/>
            <w:left w:val="none" w:sz="0" w:space="0" w:color="auto"/>
            <w:bottom w:val="none" w:sz="0" w:space="0" w:color="auto"/>
            <w:right w:val="none" w:sz="0" w:space="0" w:color="auto"/>
          </w:divBdr>
        </w:div>
        <w:div w:id="1703245059">
          <w:marLeft w:val="0"/>
          <w:marRight w:val="0"/>
          <w:marTop w:val="0"/>
          <w:marBottom w:val="0"/>
          <w:divBdr>
            <w:top w:val="none" w:sz="0" w:space="0" w:color="auto"/>
            <w:left w:val="none" w:sz="0" w:space="0" w:color="auto"/>
            <w:bottom w:val="none" w:sz="0" w:space="0" w:color="auto"/>
            <w:right w:val="none" w:sz="0" w:space="0" w:color="auto"/>
          </w:divBdr>
        </w:div>
        <w:div w:id="1773088831">
          <w:marLeft w:val="0"/>
          <w:marRight w:val="0"/>
          <w:marTop w:val="0"/>
          <w:marBottom w:val="0"/>
          <w:divBdr>
            <w:top w:val="none" w:sz="0" w:space="0" w:color="auto"/>
            <w:left w:val="none" w:sz="0" w:space="0" w:color="auto"/>
            <w:bottom w:val="none" w:sz="0" w:space="0" w:color="auto"/>
            <w:right w:val="none" w:sz="0" w:space="0" w:color="auto"/>
          </w:divBdr>
        </w:div>
      </w:divsChild>
    </w:div>
    <w:div w:id="552696580">
      <w:bodyDiv w:val="1"/>
      <w:marLeft w:val="0"/>
      <w:marRight w:val="0"/>
      <w:marTop w:val="0"/>
      <w:marBottom w:val="0"/>
      <w:divBdr>
        <w:top w:val="none" w:sz="0" w:space="0" w:color="auto"/>
        <w:left w:val="none" w:sz="0" w:space="0" w:color="auto"/>
        <w:bottom w:val="none" w:sz="0" w:space="0" w:color="auto"/>
        <w:right w:val="none" w:sz="0" w:space="0" w:color="auto"/>
      </w:divBdr>
      <w:divsChild>
        <w:div w:id="142041570">
          <w:marLeft w:val="0"/>
          <w:marRight w:val="0"/>
          <w:marTop w:val="0"/>
          <w:marBottom w:val="0"/>
          <w:divBdr>
            <w:top w:val="none" w:sz="0" w:space="0" w:color="auto"/>
            <w:left w:val="none" w:sz="0" w:space="0" w:color="auto"/>
            <w:bottom w:val="none" w:sz="0" w:space="0" w:color="auto"/>
            <w:right w:val="none" w:sz="0" w:space="0" w:color="auto"/>
          </w:divBdr>
        </w:div>
        <w:div w:id="280501673">
          <w:marLeft w:val="0"/>
          <w:marRight w:val="0"/>
          <w:marTop w:val="0"/>
          <w:marBottom w:val="0"/>
          <w:divBdr>
            <w:top w:val="none" w:sz="0" w:space="0" w:color="auto"/>
            <w:left w:val="none" w:sz="0" w:space="0" w:color="auto"/>
            <w:bottom w:val="none" w:sz="0" w:space="0" w:color="auto"/>
            <w:right w:val="none" w:sz="0" w:space="0" w:color="auto"/>
          </w:divBdr>
        </w:div>
        <w:div w:id="283191658">
          <w:marLeft w:val="0"/>
          <w:marRight w:val="0"/>
          <w:marTop w:val="0"/>
          <w:marBottom w:val="0"/>
          <w:divBdr>
            <w:top w:val="none" w:sz="0" w:space="0" w:color="auto"/>
            <w:left w:val="none" w:sz="0" w:space="0" w:color="auto"/>
            <w:bottom w:val="none" w:sz="0" w:space="0" w:color="auto"/>
            <w:right w:val="none" w:sz="0" w:space="0" w:color="auto"/>
          </w:divBdr>
        </w:div>
        <w:div w:id="684596517">
          <w:marLeft w:val="0"/>
          <w:marRight w:val="0"/>
          <w:marTop w:val="0"/>
          <w:marBottom w:val="0"/>
          <w:divBdr>
            <w:top w:val="none" w:sz="0" w:space="0" w:color="auto"/>
            <w:left w:val="none" w:sz="0" w:space="0" w:color="auto"/>
            <w:bottom w:val="none" w:sz="0" w:space="0" w:color="auto"/>
            <w:right w:val="none" w:sz="0" w:space="0" w:color="auto"/>
          </w:divBdr>
        </w:div>
        <w:div w:id="717439669">
          <w:marLeft w:val="0"/>
          <w:marRight w:val="0"/>
          <w:marTop w:val="0"/>
          <w:marBottom w:val="0"/>
          <w:divBdr>
            <w:top w:val="none" w:sz="0" w:space="0" w:color="auto"/>
            <w:left w:val="none" w:sz="0" w:space="0" w:color="auto"/>
            <w:bottom w:val="none" w:sz="0" w:space="0" w:color="auto"/>
            <w:right w:val="none" w:sz="0" w:space="0" w:color="auto"/>
          </w:divBdr>
        </w:div>
        <w:div w:id="734085930">
          <w:marLeft w:val="0"/>
          <w:marRight w:val="0"/>
          <w:marTop w:val="0"/>
          <w:marBottom w:val="0"/>
          <w:divBdr>
            <w:top w:val="none" w:sz="0" w:space="0" w:color="auto"/>
            <w:left w:val="none" w:sz="0" w:space="0" w:color="auto"/>
            <w:bottom w:val="none" w:sz="0" w:space="0" w:color="auto"/>
            <w:right w:val="none" w:sz="0" w:space="0" w:color="auto"/>
          </w:divBdr>
        </w:div>
        <w:div w:id="793595163">
          <w:marLeft w:val="0"/>
          <w:marRight w:val="0"/>
          <w:marTop w:val="0"/>
          <w:marBottom w:val="0"/>
          <w:divBdr>
            <w:top w:val="none" w:sz="0" w:space="0" w:color="auto"/>
            <w:left w:val="none" w:sz="0" w:space="0" w:color="auto"/>
            <w:bottom w:val="none" w:sz="0" w:space="0" w:color="auto"/>
            <w:right w:val="none" w:sz="0" w:space="0" w:color="auto"/>
          </w:divBdr>
        </w:div>
        <w:div w:id="938180453">
          <w:marLeft w:val="0"/>
          <w:marRight w:val="0"/>
          <w:marTop w:val="0"/>
          <w:marBottom w:val="0"/>
          <w:divBdr>
            <w:top w:val="none" w:sz="0" w:space="0" w:color="auto"/>
            <w:left w:val="none" w:sz="0" w:space="0" w:color="auto"/>
            <w:bottom w:val="none" w:sz="0" w:space="0" w:color="auto"/>
            <w:right w:val="none" w:sz="0" w:space="0" w:color="auto"/>
          </w:divBdr>
        </w:div>
        <w:div w:id="1165435063">
          <w:marLeft w:val="0"/>
          <w:marRight w:val="0"/>
          <w:marTop w:val="0"/>
          <w:marBottom w:val="0"/>
          <w:divBdr>
            <w:top w:val="none" w:sz="0" w:space="0" w:color="auto"/>
            <w:left w:val="none" w:sz="0" w:space="0" w:color="auto"/>
            <w:bottom w:val="none" w:sz="0" w:space="0" w:color="auto"/>
            <w:right w:val="none" w:sz="0" w:space="0" w:color="auto"/>
          </w:divBdr>
        </w:div>
        <w:div w:id="1480029589">
          <w:marLeft w:val="0"/>
          <w:marRight w:val="0"/>
          <w:marTop w:val="0"/>
          <w:marBottom w:val="0"/>
          <w:divBdr>
            <w:top w:val="none" w:sz="0" w:space="0" w:color="auto"/>
            <w:left w:val="none" w:sz="0" w:space="0" w:color="auto"/>
            <w:bottom w:val="none" w:sz="0" w:space="0" w:color="auto"/>
            <w:right w:val="none" w:sz="0" w:space="0" w:color="auto"/>
          </w:divBdr>
        </w:div>
        <w:div w:id="1750422585">
          <w:marLeft w:val="0"/>
          <w:marRight w:val="0"/>
          <w:marTop w:val="0"/>
          <w:marBottom w:val="0"/>
          <w:divBdr>
            <w:top w:val="none" w:sz="0" w:space="0" w:color="auto"/>
            <w:left w:val="none" w:sz="0" w:space="0" w:color="auto"/>
            <w:bottom w:val="none" w:sz="0" w:space="0" w:color="auto"/>
            <w:right w:val="none" w:sz="0" w:space="0" w:color="auto"/>
          </w:divBdr>
        </w:div>
        <w:div w:id="1985238398">
          <w:marLeft w:val="0"/>
          <w:marRight w:val="0"/>
          <w:marTop w:val="0"/>
          <w:marBottom w:val="0"/>
          <w:divBdr>
            <w:top w:val="none" w:sz="0" w:space="0" w:color="auto"/>
            <w:left w:val="none" w:sz="0" w:space="0" w:color="auto"/>
            <w:bottom w:val="none" w:sz="0" w:space="0" w:color="auto"/>
            <w:right w:val="none" w:sz="0" w:space="0" w:color="auto"/>
          </w:divBdr>
        </w:div>
        <w:div w:id="1998533442">
          <w:marLeft w:val="0"/>
          <w:marRight w:val="0"/>
          <w:marTop w:val="0"/>
          <w:marBottom w:val="0"/>
          <w:divBdr>
            <w:top w:val="none" w:sz="0" w:space="0" w:color="auto"/>
            <w:left w:val="none" w:sz="0" w:space="0" w:color="auto"/>
            <w:bottom w:val="none" w:sz="0" w:space="0" w:color="auto"/>
            <w:right w:val="none" w:sz="0" w:space="0" w:color="auto"/>
          </w:divBdr>
        </w:div>
        <w:div w:id="2090416678">
          <w:marLeft w:val="0"/>
          <w:marRight w:val="0"/>
          <w:marTop w:val="0"/>
          <w:marBottom w:val="0"/>
          <w:divBdr>
            <w:top w:val="none" w:sz="0" w:space="0" w:color="auto"/>
            <w:left w:val="none" w:sz="0" w:space="0" w:color="auto"/>
            <w:bottom w:val="none" w:sz="0" w:space="0" w:color="auto"/>
            <w:right w:val="none" w:sz="0" w:space="0" w:color="auto"/>
          </w:divBdr>
        </w:div>
      </w:divsChild>
    </w:div>
    <w:div w:id="554319911">
      <w:bodyDiv w:val="1"/>
      <w:marLeft w:val="0"/>
      <w:marRight w:val="0"/>
      <w:marTop w:val="0"/>
      <w:marBottom w:val="0"/>
      <w:divBdr>
        <w:top w:val="none" w:sz="0" w:space="0" w:color="auto"/>
        <w:left w:val="none" w:sz="0" w:space="0" w:color="auto"/>
        <w:bottom w:val="none" w:sz="0" w:space="0" w:color="auto"/>
        <w:right w:val="none" w:sz="0" w:space="0" w:color="auto"/>
      </w:divBdr>
      <w:divsChild>
        <w:div w:id="33820351">
          <w:marLeft w:val="0"/>
          <w:marRight w:val="0"/>
          <w:marTop w:val="0"/>
          <w:marBottom w:val="0"/>
          <w:divBdr>
            <w:top w:val="none" w:sz="0" w:space="0" w:color="auto"/>
            <w:left w:val="none" w:sz="0" w:space="0" w:color="auto"/>
            <w:bottom w:val="none" w:sz="0" w:space="0" w:color="auto"/>
            <w:right w:val="none" w:sz="0" w:space="0" w:color="auto"/>
          </w:divBdr>
        </w:div>
        <w:div w:id="98961804">
          <w:marLeft w:val="0"/>
          <w:marRight w:val="0"/>
          <w:marTop w:val="0"/>
          <w:marBottom w:val="0"/>
          <w:divBdr>
            <w:top w:val="none" w:sz="0" w:space="0" w:color="auto"/>
            <w:left w:val="none" w:sz="0" w:space="0" w:color="auto"/>
            <w:bottom w:val="none" w:sz="0" w:space="0" w:color="auto"/>
            <w:right w:val="none" w:sz="0" w:space="0" w:color="auto"/>
          </w:divBdr>
        </w:div>
        <w:div w:id="997420676">
          <w:marLeft w:val="0"/>
          <w:marRight w:val="0"/>
          <w:marTop w:val="0"/>
          <w:marBottom w:val="0"/>
          <w:divBdr>
            <w:top w:val="none" w:sz="0" w:space="0" w:color="auto"/>
            <w:left w:val="none" w:sz="0" w:space="0" w:color="auto"/>
            <w:bottom w:val="none" w:sz="0" w:space="0" w:color="auto"/>
            <w:right w:val="none" w:sz="0" w:space="0" w:color="auto"/>
          </w:divBdr>
        </w:div>
        <w:div w:id="1038703861">
          <w:marLeft w:val="0"/>
          <w:marRight w:val="0"/>
          <w:marTop w:val="0"/>
          <w:marBottom w:val="0"/>
          <w:divBdr>
            <w:top w:val="none" w:sz="0" w:space="0" w:color="auto"/>
            <w:left w:val="none" w:sz="0" w:space="0" w:color="auto"/>
            <w:bottom w:val="none" w:sz="0" w:space="0" w:color="auto"/>
            <w:right w:val="none" w:sz="0" w:space="0" w:color="auto"/>
          </w:divBdr>
        </w:div>
        <w:div w:id="1213032311">
          <w:marLeft w:val="0"/>
          <w:marRight w:val="0"/>
          <w:marTop w:val="0"/>
          <w:marBottom w:val="0"/>
          <w:divBdr>
            <w:top w:val="none" w:sz="0" w:space="0" w:color="auto"/>
            <w:left w:val="none" w:sz="0" w:space="0" w:color="auto"/>
            <w:bottom w:val="none" w:sz="0" w:space="0" w:color="auto"/>
            <w:right w:val="none" w:sz="0" w:space="0" w:color="auto"/>
          </w:divBdr>
        </w:div>
        <w:div w:id="1700351592">
          <w:marLeft w:val="0"/>
          <w:marRight w:val="0"/>
          <w:marTop w:val="0"/>
          <w:marBottom w:val="0"/>
          <w:divBdr>
            <w:top w:val="none" w:sz="0" w:space="0" w:color="auto"/>
            <w:left w:val="none" w:sz="0" w:space="0" w:color="auto"/>
            <w:bottom w:val="none" w:sz="0" w:space="0" w:color="auto"/>
            <w:right w:val="none" w:sz="0" w:space="0" w:color="auto"/>
          </w:divBdr>
        </w:div>
        <w:div w:id="1942688622">
          <w:marLeft w:val="0"/>
          <w:marRight w:val="0"/>
          <w:marTop w:val="0"/>
          <w:marBottom w:val="0"/>
          <w:divBdr>
            <w:top w:val="none" w:sz="0" w:space="0" w:color="auto"/>
            <w:left w:val="none" w:sz="0" w:space="0" w:color="auto"/>
            <w:bottom w:val="none" w:sz="0" w:space="0" w:color="auto"/>
            <w:right w:val="none" w:sz="0" w:space="0" w:color="auto"/>
          </w:divBdr>
        </w:div>
        <w:div w:id="1986659005">
          <w:marLeft w:val="0"/>
          <w:marRight w:val="0"/>
          <w:marTop w:val="0"/>
          <w:marBottom w:val="0"/>
          <w:divBdr>
            <w:top w:val="none" w:sz="0" w:space="0" w:color="auto"/>
            <w:left w:val="none" w:sz="0" w:space="0" w:color="auto"/>
            <w:bottom w:val="none" w:sz="0" w:space="0" w:color="auto"/>
            <w:right w:val="none" w:sz="0" w:space="0" w:color="auto"/>
          </w:divBdr>
        </w:div>
        <w:div w:id="2015762166">
          <w:marLeft w:val="0"/>
          <w:marRight w:val="0"/>
          <w:marTop w:val="0"/>
          <w:marBottom w:val="0"/>
          <w:divBdr>
            <w:top w:val="none" w:sz="0" w:space="0" w:color="auto"/>
            <w:left w:val="none" w:sz="0" w:space="0" w:color="auto"/>
            <w:bottom w:val="none" w:sz="0" w:space="0" w:color="auto"/>
            <w:right w:val="none" w:sz="0" w:space="0" w:color="auto"/>
          </w:divBdr>
        </w:div>
      </w:divsChild>
    </w:div>
    <w:div w:id="562108127">
      <w:bodyDiv w:val="1"/>
      <w:marLeft w:val="0"/>
      <w:marRight w:val="0"/>
      <w:marTop w:val="0"/>
      <w:marBottom w:val="0"/>
      <w:divBdr>
        <w:top w:val="none" w:sz="0" w:space="0" w:color="auto"/>
        <w:left w:val="none" w:sz="0" w:space="0" w:color="auto"/>
        <w:bottom w:val="none" w:sz="0" w:space="0" w:color="auto"/>
        <w:right w:val="none" w:sz="0" w:space="0" w:color="auto"/>
      </w:divBdr>
      <w:divsChild>
        <w:div w:id="698165291">
          <w:marLeft w:val="0"/>
          <w:marRight w:val="0"/>
          <w:marTop w:val="0"/>
          <w:marBottom w:val="0"/>
          <w:divBdr>
            <w:top w:val="none" w:sz="0" w:space="0" w:color="auto"/>
            <w:left w:val="none" w:sz="0" w:space="0" w:color="auto"/>
            <w:bottom w:val="none" w:sz="0" w:space="0" w:color="auto"/>
            <w:right w:val="none" w:sz="0" w:space="0" w:color="auto"/>
          </w:divBdr>
          <w:divsChild>
            <w:div w:id="448354119">
              <w:marLeft w:val="0"/>
              <w:marRight w:val="0"/>
              <w:marTop w:val="0"/>
              <w:marBottom w:val="0"/>
              <w:divBdr>
                <w:top w:val="none" w:sz="0" w:space="0" w:color="auto"/>
                <w:left w:val="none" w:sz="0" w:space="0" w:color="auto"/>
                <w:bottom w:val="none" w:sz="0" w:space="0" w:color="auto"/>
                <w:right w:val="none" w:sz="0" w:space="0" w:color="auto"/>
              </w:divBdr>
            </w:div>
            <w:div w:id="633559434">
              <w:marLeft w:val="0"/>
              <w:marRight w:val="0"/>
              <w:marTop w:val="0"/>
              <w:marBottom w:val="0"/>
              <w:divBdr>
                <w:top w:val="none" w:sz="0" w:space="0" w:color="auto"/>
                <w:left w:val="none" w:sz="0" w:space="0" w:color="auto"/>
                <w:bottom w:val="none" w:sz="0" w:space="0" w:color="auto"/>
                <w:right w:val="none" w:sz="0" w:space="0" w:color="auto"/>
              </w:divBdr>
            </w:div>
            <w:div w:id="970674192">
              <w:marLeft w:val="0"/>
              <w:marRight w:val="0"/>
              <w:marTop w:val="0"/>
              <w:marBottom w:val="0"/>
              <w:divBdr>
                <w:top w:val="none" w:sz="0" w:space="0" w:color="auto"/>
                <w:left w:val="none" w:sz="0" w:space="0" w:color="auto"/>
                <w:bottom w:val="none" w:sz="0" w:space="0" w:color="auto"/>
                <w:right w:val="none" w:sz="0" w:space="0" w:color="auto"/>
              </w:divBdr>
            </w:div>
            <w:div w:id="1196238778">
              <w:marLeft w:val="0"/>
              <w:marRight w:val="0"/>
              <w:marTop w:val="0"/>
              <w:marBottom w:val="0"/>
              <w:divBdr>
                <w:top w:val="none" w:sz="0" w:space="0" w:color="auto"/>
                <w:left w:val="none" w:sz="0" w:space="0" w:color="auto"/>
                <w:bottom w:val="none" w:sz="0" w:space="0" w:color="auto"/>
                <w:right w:val="none" w:sz="0" w:space="0" w:color="auto"/>
              </w:divBdr>
            </w:div>
            <w:div w:id="1733116837">
              <w:marLeft w:val="0"/>
              <w:marRight w:val="0"/>
              <w:marTop w:val="0"/>
              <w:marBottom w:val="0"/>
              <w:divBdr>
                <w:top w:val="none" w:sz="0" w:space="0" w:color="auto"/>
                <w:left w:val="none" w:sz="0" w:space="0" w:color="auto"/>
                <w:bottom w:val="none" w:sz="0" w:space="0" w:color="auto"/>
                <w:right w:val="none" w:sz="0" w:space="0" w:color="auto"/>
              </w:divBdr>
            </w:div>
          </w:divsChild>
        </w:div>
        <w:div w:id="1318727407">
          <w:marLeft w:val="0"/>
          <w:marRight w:val="0"/>
          <w:marTop w:val="0"/>
          <w:marBottom w:val="0"/>
          <w:divBdr>
            <w:top w:val="none" w:sz="0" w:space="0" w:color="auto"/>
            <w:left w:val="none" w:sz="0" w:space="0" w:color="auto"/>
            <w:bottom w:val="none" w:sz="0" w:space="0" w:color="auto"/>
            <w:right w:val="none" w:sz="0" w:space="0" w:color="auto"/>
          </w:divBdr>
          <w:divsChild>
            <w:div w:id="10382902">
              <w:marLeft w:val="0"/>
              <w:marRight w:val="0"/>
              <w:marTop w:val="0"/>
              <w:marBottom w:val="0"/>
              <w:divBdr>
                <w:top w:val="none" w:sz="0" w:space="0" w:color="auto"/>
                <w:left w:val="none" w:sz="0" w:space="0" w:color="auto"/>
                <w:bottom w:val="none" w:sz="0" w:space="0" w:color="auto"/>
                <w:right w:val="none" w:sz="0" w:space="0" w:color="auto"/>
              </w:divBdr>
            </w:div>
            <w:div w:id="495805784">
              <w:marLeft w:val="0"/>
              <w:marRight w:val="0"/>
              <w:marTop w:val="0"/>
              <w:marBottom w:val="0"/>
              <w:divBdr>
                <w:top w:val="none" w:sz="0" w:space="0" w:color="auto"/>
                <w:left w:val="none" w:sz="0" w:space="0" w:color="auto"/>
                <w:bottom w:val="none" w:sz="0" w:space="0" w:color="auto"/>
                <w:right w:val="none" w:sz="0" w:space="0" w:color="auto"/>
              </w:divBdr>
            </w:div>
            <w:div w:id="709575737">
              <w:marLeft w:val="0"/>
              <w:marRight w:val="0"/>
              <w:marTop w:val="0"/>
              <w:marBottom w:val="0"/>
              <w:divBdr>
                <w:top w:val="none" w:sz="0" w:space="0" w:color="auto"/>
                <w:left w:val="none" w:sz="0" w:space="0" w:color="auto"/>
                <w:bottom w:val="none" w:sz="0" w:space="0" w:color="auto"/>
                <w:right w:val="none" w:sz="0" w:space="0" w:color="auto"/>
              </w:divBdr>
            </w:div>
            <w:div w:id="1094321461">
              <w:marLeft w:val="0"/>
              <w:marRight w:val="0"/>
              <w:marTop w:val="0"/>
              <w:marBottom w:val="0"/>
              <w:divBdr>
                <w:top w:val="none" w:sz="0" w:space="0" w:color="auto"/>
                <w:left w:val="none" w:sz="0" w:space="0" w:color="auto"/>
                <w:bottom w:val="none" w:sz="0" w:space="0" w:color="auto"/>
                <w:right w:val="none" w:sz="0" w:space="0" w:color="auto"/>
              </w:divBdr>
            </w:div>
            <w:div w:id="1132290539">
              <w:marLeft w:val="0"/>
              <w:marRight w:val="0"/>
              <w:marTop w:val="0"/>
              <w:marBottom w:val="0"/>
              <w:divBdr>
                <w:top w:val="none" w:sz="0" w:space="0" w:color="auto"/>
                <w:left w:val="none" w:sz="0" w:space="0" w:color="auto"/>
                <w:bottom w:val="none" w:sz="0" w:space="0" w:color="auto"/>
                <w:right w:val="none" w:sz="0" w:space="0" w:color="auto"/>
              </w:divBdr>
            </w:div>
            <w:div w:id="1548251870">
              <w:marLeft w:val="0"/>
              <w:marRight w:val="0"/>
              <w:marTop w:val="0"/>
              <w:marBottom w:val="0"/>
              <w:divBdr>
                <w:top w:val="none" w:sz="0" w:space="0" w:color="auto"/>
                <w:left w:val="none" w:sz="0" w:space="0" w:color="auto"/>
                <w:bottom w:val="none" w:sz="0" w:space="0" w:color="auto"/>
                <w:right w:val="none" w:sz="0" w:space="0" w:color="auto"/>
              </w:divBdr>
            </w:div>
            <w:div w:id="1591161781">
              <w:marLeft w:val="0"/>
              <w:marRight w:val="0"/>
              <w:marTop w:val="0"/>
              <w:marBottom w:val="0"/>
              <w:divBdr>
                <w:top w:val="none" w:sz="0" w:space="0" w:color="auto"/>
                <w:left w:val="none" w:sz="0" w:space="0" w:color="auto"/>
                <w:bottom w:val="none" w:sz="0" w:space="0" w:color="auto"/>
                <w:right w:val="none" w:sz="0" w:space="0" w:color="auto"/>
              </w:divBdr>
            </w:div>
            <w:div w:id="15962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833060">
      <w:bodyDiv w:val="1"/>
      <w:marLeft w:val="0"/>
      <w:marRight w:val="0"/>
      <w:marTop w:val="0"/>
      <w:marBottom w:val="0"/>
      <w:divBdr>
        <w:top w:val="none" w:sz="0" w:space="0" w:color="auto"/>
        <w:left w:val="none" w:sz="0" w:space="0" w:color="auto"/>
        <w:bottom w:val="none" w:sz="0" w:space="0" w:color="auto"/>
        <w:right w:val="none" w:sz="0" w:space="0" w:color="auto"/>
      </w:divBdr>
    </w:div>
    <w:div w:id="602685331">
      <w:bodyDiv w:val="1"/>
      <w:marLeft w:val="0"/>
      <w:marRight w:val="0"/>
      <w:marTop w:val="0"/>
      <w:marBottom w:val="0"/>
      <w:divBdr>
        <w:top w:val="none" w:sz="0" w:space="0" w:color="auto"/>
        <w:left w:val="none" w:sz="0" w:space="0" w:color="auto"/>
        <w:bottom w:val="none" w:sz="0" w:space="0" w:color="auto"/>
        <w:right w:val="none" w:sz="0" w:space="0" w:color="auto"/>
      </w:divBdr>
      <w:divsChild>
        <w:div w:id="224679870">
          <w:marLeft w:val="0"/>
          <w:marRight w:val="0"/>
          <w:marTop w:val="0"/>
          <w:marBottom w:val="0"/>
          <w:divBdr>
            <w:top w:val="none" w:sz="0" w:space="0" w:color="auto"/>
            <w:left w:val="none" w:sz="0" w:space="0" w:color="auto"/>
            <w:bottom w:val="none" w:sz="0" w:space="0" w:color="auto"/>
            <w:right w:val="none" w:sz="0" w:space="0" w:color="auto"/>
          </w:divBdr>
        </w:div>
        <w:div w:id="641423193">
          <w:marLeft w:val="0"/>
          <w:marRight w:val="0"/>
          <w:marTop w:val="0"/>
          <w:marBottom w:val="0"/>
          <w:divBdr>
            <w:top w:val="none" w:sz="0" w:space="0" w:color="auto"/>
            <w:left w:val="none" w:sz="0" w:space="0" w:color="auto"/>
            <w:bottom w:val="none" w:sz="0" w:space="0" w:color="auto"/>
            <w:right w:val="none" w:sz="0" w:space="0" w:color="auto"/>
          </w:divBdr>
        </w:div>
        <w:div w:id="773552842">
          <w:marLeft w:val="0"/>
          <w:marRight w:val="0"/>
          <w:marTop w:val="0"/>
          <w:marBottom w:val="0"/>
          <w:divBdr>
            <w:top w:val="none" w:sz="0" w:space="0" w:color="auto"/>
            <w:left w:val="none" w:sz="0" w:space="0" w:color="auto"/>
            <w:bottom w:val="none" w:sz="0" w:space="0" w:color="auto"/>
            <w:right w:val="none" w:sz="0" w:space="0" w:color="auto"/>
          </w:divBdr>
        </w:div>
        <w:div w:id="886725689">
          <w:marLeft w:val="0"/>
          <w:marRight w:val="0"/>
          <w:marTop w:val="0"/>
          <w:marBottom w:val="0"/>
          <w:divBdr>
            <w:top w:val="none" w:sz="0" w:space="0" w:color="auto"/>
            <w:left w:val="none" w:sz="0" w:space="0" w:color="auto"/>
            <w:bottom w:val="none" w:sz="0" w:space="0" w:color="auto"/>
            <w:right w:val="none" w:sz="0" w:space="0" w:color="auto"/>
          </w:divBdr>
        </w:div>
        <w:div w:id="1840853253">
          <w:marLeft w:val="0"/>
          <w:marRight w:val="0"/>
          <w:marTop w:val="0"/>
          <w:marBottom w:val="0"/>
          <w:divBdr>
            <w:top w:val="none" w:sz="0" w:space="0" w:color="auto"/>
            <w:left w:val="none" w:sz="0" w:space="0" w:color="auto"/>
            <w:bottom w:val="none" w:sz="0" w:space="0" w:color="auto"/>
            <w:right w:val="none" w:sz="0" w:space="0" w:color="auto"/>
          </w:divBdr>
        </w:div>
      </w:divsChild>
    </w:div>
    <w:div w:id="608507534">
      <w:bodyDiv w:val="1"/>
      <w:marLeft w:val="0"/>
      <w:marRight w:val="0"/>
      <w:marTop w:val="0"/>
      <w:marBottom w:val="0"/>
      <w:divBdr>
        <w:top w:val="none" w:sz="0" w:space="0" w:color="auto"/>
        <w:left w:val="none" w:sz="0" w:space="0" w:color="auto"/>
        <w:bottom w:val="none" w:sz="0" w:space="0" w:color="auto"/>
        <w:right w:val="none" w:sz="0" w:space="0" w:color="auto"/>
      </w:divBdr>
      <w:divsChild>
        <w:div w:id="213082967">
          <w:marLeft w:val="0"/>
          <w:marRight w:val="0"/>
          <w:marTop w:val="0"/>
          <w:marBottom w:val="0"/>
          <w:divBdr>
            <w:top w:val="none" w:sz="0" w:space="0" w:color="auto"/>
            <w:left w:val="none" w:sz="0" w:space="0" w:color="auto"/>
            <w:bottom w:val="none" w:sz="0" w:space="0" w:color="auto"/>
            <w:right w:val="none" w:sz="0" w:space="0" w:color="auto"/>
          </w:divBdr>
        </w:div>
        <w:div w:id="291520676">
          <w:marLeft w:val="0"/>
          <w:marRight w:val="0"/>
          <w:marTop w:val="0"/>
          <w:marBottom w:val="0"/>
          <w:divBdr>
            <w:top w:val="none" w:sz="0" w:space="0" w:color="auto"/>
            <w:left w:val="none" w:sz="0" w:space="0" w:color="auto"/>
            <w:bottom w:val="none" w:sz="0" w:space="0" w:color="auto"/>
            <w:right w:val="none" w:sz="0" w:space="0" w:color="auto"/>
          </w:divBdr>
        </w:div>
        <w:div w:id="357850112">
          <w:marLeft w:val="0"/>
          <w:marRight w:val="0"/>
          <w:marTop w:val="0"/>
          <w:marBottom w:val="0"/>
          <w:divBdr>
            <w:top w:val="none" w:sz="0" w:space="0" w:color="auto"/>
            <w:left w:val="none" w:sz="0" w:space="0" w:color="auto"/>
            <w:bottom w:val="none" w:sz="0" w:space="0" w:color="auto"/>
            <w:right w:val="none" w:sz="0" w:space="0" w:color="auto"/>
          </w:divBdr>
        </w:div>
        <w:div w:id="364984421">
          <w:marLeft w:val="0"/>
          <w:marRight w:val="0"/>
          <w:marTop w:val="0"/>
          <w:marBottom w:val="0"/>
          <w:divBdr>
            <w:top w:val="none" w:sz="0" w:space="0" w:color="auto"/>
            <w:left w:val="none" w:sz="0" w:space="0" w:color="auto"/>
            <w:bottom w:val="none" w:sz="0" w:space="0" w:color="auto"/>
            <w:right w:val="none" w:sz="0" w:space="0" w:color="auto"/>
          </w:divBdr>
        </w:div>
        <w:div w:id="371806784">
          <w:marLeft w:val="0"/>
          <w:marRight w:val="0"/>
          <w:marTop w:val="0"/>
          <w:marBottom w:val="0"/>
          <w:divBdr>
            <w:top w:val="none" w:sz="0" w:space="0" w:color="auto"/>
            <w:left w:val="none" w:sz="0" w:space="0" w:color="auto"/>
            <w:bottom w:val="none" w:sz="0" w:space="0" w:color="auto"/>
            <w:right w:val="none" w:sz="0" w:space="0" w:color="auto"/>
          </w:divBdr>
        </w:div>
        <w:div w:id="768282217">
          <w:marLeft w:val="0"/>
          <w:marRight w:val="0"/>
          <w:marTop w:val="0"/>
          <w:marBottom w:val="0"/>
          <w:divBdr>
            <w:top w:val="none" w:sz="0" w:space="0" w:color="auto"/>
            <w:left w:val="none" w:sz="0" w:space="0" w:color="auto"/>
            <w:bottom w:val="none" w:sz="0" w:space="0" w:color="auto"/>
            <w:right w:val="none" w:sz="0" w:space="0" w:color="auto"/>
          </w:divBdr>
        </w:div>
        <w:div w:id="1592590763">
          <w:marLeft w:val="0"/>
          <w:marRight w:val="0"/>
          <w:marTop w:val="0"/>
          <w:marBottom w:val="0"/>
          <w:divBdr>
            <w:top w:val="none" w:sz="0" w:space="0" w:color="auto"/>
            <w:left w:val="none" w:sz="0" w:space="0" w:color="auto"/>
            <w:bottom w:val="none" w:sz="0" w:space="0" w:color="auto"/>
            <w:right w:val="none" w:sz="0" w:space="0" w:color="auto"/>
          </w:divBdr>
        </w:div>
      </w:divsChild>
    </w:div>
    <w:div w:id="624196994">
      <w:bodyDiv w:val="1"/>
      <w:marLeft w:val="0"/>
      <w:marRight w:val="0"/>
      <w:marTop w:val="0"/>
      <w:marBottom w:val="0"/>
      <w:divBdr>
        <w:top w:val="none" w:sz="0" w:space="0" w:color="auto"/>
        <w:left w:val="none" w:sz="0" w:space="0" w:color="auto"/>
        <w:bottom w:val="none" w:sz="0" w:space="0" w:color="auto"/>
        <w:right w:val="none" w:sz="0" w:space="0" w:color="auto"/>
      </w:divBdr>
      <w:divsChild>
        <w:div w:id="77021488">
          <w:marLeft w:val="0"/>
          <w:marRight w:val="0"/>
          <w:marTop w:val="0"/>
          <w:marBottom w:val="0"/>
          <w:divBdr>
            <w:top w:val="none" w:sz="0" w:space="0" w:color="auto"/>
            <w:left w:val="none" w:sz="0" w:space="0" w:color="auto"/>
            <w:bottom w:val="none" w:sz="0" w:space="0" w:color="auto"/>
            <w:right w:val="none" w:sz="0" w:space="0" w:color="auto"/>
          </w:divBdr>
        </w:div>
        <w:div w:id="798259008">
          <w:marLeft w:val="0"/>
          <w:marRight w:val="0"/>
          <w:marTop w:val="0"/>
          <w:marBottom w:val="0"/>
          <w:divBdr>
            <w:top w:val="none" w:sz="0" w:space="0" w:color="auto"/>
            <w:left w:val="none" w:sz="0" w:space="0" w:color="auto"/>
            <w:bottom w:val="none" w:sz="0" w:space="0" w:color="auto"/>
            <w:right w:val="none" w:sz="0" w:space="0" w:color="auto"/>
          </w:divBdr>
        </w:div>
        <w:div w:id="1108623222">
          <w:marLeft w:val="0"/>
          <w:marRight w:val="0"/>
          <w:marTop w:val="0"/>
          <w:marBottom w:val="0"/>
          <w:divBdr>
            <w:top w:val="none" w:sz="0" w:space="0" w:color="auto"/>
            <w:left w:val="none" w:sz="0" w:space="0" w:color="auto"/>
            <w:bottom w:val="none" w:sz="0" w:space="0" w:color="auto"/>
            <w:right w:val="none" w:sz="0" w:space="0" w:color="auto"/>
          </w:divBdr>
        </w:div>
        <w:div w:id="1793133263">
          <w:marLeft w:val="0"/>
          <w:marRight w:val="0"/>
          <w:marTop w:val="0"/>
          <w:marBottom w:val="0"/>
          <w:divBdr>
            <w:top w:val="none" w:sz="0" w:space="0" w:color="auto"/>
            <w:left w:val="none" w:sz="0" w:space="0" w:color="auto"/>
            <w:bottom w:val="none" w:sz="0" w:space="0" w:color="auto"/>
            <w:right w:val="none" w:sz="0" w:space="0" w:color="auto"/>
          </w:divBdr>
          <w:divsChild>
            <w:div w:id="46924940">
              <w:marLeft w:val="0"/>
              <w:marRight w:val="0"/>
              <w:marTop w:val="0"/>
              <w:marBottom w:val="0"/>
              <w:divBdr>
                <w:top w:val="none" w:sz="0" w:space="0" w:color="auto"/>
                <w:left w:val="none" w:sz="0" w:space="0" w:color="auto"/>
                <w:bottom w:val="none" w:sz="0" w:space="0" w:color="auto"/>
                <w:right w:val="none" w:sz="0" w:space="0" w:color="auto"/>
              </w:divBdr>
            </w:div>
            <w:div w:id="658003350">
              <w:marLeft w:val="0"/>
              <w:marRight w:val="0"/>
              <w:marTop w:val="0"/>
              <w:marBottom w:val="0"/>
              <w:divBdr>
                <w:top w:val="none" w:sz="0" w:space="0" w:color="auto"/>
                <w:left w:val="none" w:sz="0" w:space="0" w:color="auto"/>
                <w:bottom w:val="none" w:sz="0" w:space="0" w:color="auto"/>
                <w:right w:val="none" w:sz="0" w:space="0" w:color="auto"/>
              </w:divBdr>
            </w:div>
            <w:div w:id="1567569316">
              <w:marLeft w:val="0"/>
              <w:marRight w:val="0"/>
              <w:marTop w:val="0"/>
              <w:marBottom w:val="0"/>
              <w:divBdr>
                <w:top w:val="none" w:sz="0" w:space="0" w:color="auto"/>
                <w:left w:val="none" w:sz="0" w:space="0" w:color="auto"/>
                <w:bottom w:val="none" w:sz="0" w:space="0" w:color="auto"/>
                <w:right w:val="none" w:sz="0" w:space="0" w:color="auto"/>
              </w:divBdr>
            </w:div>
            <w:div w:id="1801337192">
              <w:marLeft w:val="0"/>
              <w:marRight w:val="0"/>
              <w:marTop w:val="0"/>
              <w:marBottom w:val="0"/>
              <w:divBdr>
                <w:top w:val="none" w:sz="0" w:space="0" w:color="auto"/>
                <w:left w:val="none" w:sz="0" w:space="0" w:color="auto"/>
                <w:bottom w:val="none" w:sz="0" w:space="0" w:color="auto"/>
                <w:right w:val="none" w:sz="0" w:space="0" w:color="auto"/>
              </w:divBdr>
            </w:div>
            <w:div w:id="1922368213">
              <w:marLeft w:val="0"/>
              <w:marRight w:val="0"/>
              <w:marTop w:val="0"/>
              <w:marBottom w:val="0"/>
              <w:divBdr>
                <w:top w:val="none" w:sz="0" w:space="0" w:color="auto"/>
                <w:left w:val="none" w:sz="0" w:space="0" w:color="auto"/>
                <w:bottom w:val="none" w:sz="0" w:space="0" w:color="auto"/>
                <w:right w:val="none" w:sz="0" w:space="0" w:color="auto"/>
              </w:divBdr>
            </w:div>
          </w:divsChild>
        </w:div>
        <w:div w:id="1829438372">
          <w:marLeft w:val="0"/>
          <w:marRight w:val="0"/>
          <w:marTop w:val="0"/>
          <w:marBottom w:val="0"/>
          <w:divBdr>
            <w:top w:val="none" w:sz="0" w:space="0" w:color="auto"/>
            <w:left w:val="none" w:sz="0" w:space="0" w:color="auto"/>
            <w:bottom w:val="none" w:sz="0" w:space="0" w:color="auto"/>
            <w:right w:val="none" w:sz="0" w:space="0" w:color="auto"/>
          </w:divBdr>
        </w:div>
        <w:div w:id="1996839910">
          <w:marLeft w:val="0"/>
          <w:marRight w:val="0"/>
          <w:marTop w:val="0"/>
          <w:marBottom w:val="0"/>
          <w:divBdr>
            <w:top w:val="none" w:sz="0" w:space="0" w:color="auto"/>
            <w:left w:val="none" w:sz="0" w:space="0" w:color="auto"/>
            <w:bottom w:val="none" w:sz="0" w:space="0" w:color="auto"/>
            <w:right w:val="none" w:sz="0" w:space="0" w:color="auto"/>
          </w:divBdr>
        </w:div>
      </w:divsChild>
    </w:div>
    <w:div w:id="630551658">
      <w:bodyDiv w:val="1"/>
      <w:marLeft w:val="0"/>
      <w:marRight w:val="0"/>
      <w:marTop w:val="0"/>
      <w:marBottom w:val="0"/>
      <w:divBdr>
        <w:top w:val="none" w:sz="0" w:space="0" w:color="auto"/>
        <w:left w:val="none" w:sz="0" w:space="0" w:color="auto"/>
        <w:bottom w:val="none" w:sz="0" w:space="0" w:color="auto"/>
        <w:right w:val="none" w:sz="0" w:space="0" w:color="auto"/>
      </w:divBdr>
      <w:divsChild>
        <w:div w:id="175970071">
          <w:marLeft w:val="0"/>
          <w:marRight w:val="0"/>
          <w:marTop w:val="0"/>
          <w:marBottom w:val="0"/>
          <w:divBdr>
            <w:top w:val="none" w:sz="0" w:space="0" w:color="auto"/>
            <w:left w:val="none" w:sz="0" w:space="0" w:color="auto"/>
            <w:bottom w:val="none" w:sz="0" w:space="0" w:color="auto"/>
            <w:right w:val="none" w:sz="0" w:space="0" w:color="auto"/>
          </w:divBdr>
        </w:div>
        <w:div w:id="1468669049">
          <w:marLeft w:val="0"/>
          <w:marRight w:val="0"/>
          <w:marTop w:val="0"/>
          <w:marBottom w:val="0"/>
          <w:divBdr>
            <w:top w:val="none" w:sz="0" w:space="0" w:color="auto"/>
            <w:left w:val="none" w:sz="0" w:space="0" w:color="auto"/>
            <w:bottom w:val="none" w:sz="0" w:space="0" w:color="auto"/>
            <w:right w:val="none" w:sz="0" w:space="0" w:color="auto"/>
          </w:divBdr>
        </w:div>
        <w:div w:id="1487822514">
          <w:marLeft w:val="0"/>
          <w:marRight w:val="0"/>
          <w:marTop w:val="0"/>
          <w:marBottom w:val="0"/>
          <w:divBdr>
            <w:top w:val="none" w:sz="0" w:space="0" w:color="auto"/>
            <w:left w:val="none" w:sz="0" w:space="0" w:color="auto"/>
            <w:bottom w:val="none" w:sz="0" w:space="0" w:color="auto"/>
            <w:right w:val="none" w:sz="0" w:space="0" w:color="auto"/>
          </w:divBdr>
        </w:div>
        <w:div w:id="1554611947">
          <w:marLeft w:val="0"/>
          <w:marRight w:val="0"/>
          <w:marTop w:val="0"/>
          <w:marBottom w:val="0"/>
          <w:divBdr>
            <w:top w:val="none" w:sz="0" w:space="0" w:color="auto"/>
            <w:left w:val="none" w:sz="0" w:space="0" w:color="auto"/>
            <w:bottom w:val="none" w:sz="0" w:space="0" w:color="auto"/>
            <w:right w:val="none" w:sz="0" w:space="0" w:color="auto"/>
          </w:divBdr>
        </w:div>
        <w:div w:id="2143231872">
          <w:marLeft w:val="0"/>
          <w:marRight w:val="0"/>
          <w:marTop w:val="0"/>
          <w:marBottom w:val="0"/>
          <w:divBdr>
            <w:top w:val="none" w:sz="0" w:space="0" w:color="auto"/>
            <w:left w:val="none" w:sz="0" w:space="0" w:color="auto"/>
            <w:bottom w:val="none" w:sz="0" w:space="0" w:color="auto"/>
            <w:right w:val="none" w:sz="0" w:space="0" w:color="auto"/>
          </w:divBdr>
        </w:div>
      </w:divsChild>
    </w:div>
    <w:div w:id="670521908">
      <w:bodyDiv w:val="1"/>
      <w:marLeft w:val="0"/>
      <w:marRight w:val="0"/>
      <w:marTop w:val="0"/>
      <w:marBottom w:val="0"/>
      <w:divBdr>
        <w:top w:val="none" w:sz="0" w:space="0" w:color="auto"/>
        <w:left w:val="none" w:sz="0" w:space="0" w:color="auto"/>
        <w:bottom w:val="none" w:sz="0" w:space="0" w:color="auto"/>
        <w:right w:val="none" w:sz="0" w:space="0" w:color="auto"/>
      </w:divBdr>
      <w:divsChild>
        <w:div w:id="62029020">
          <w:marLeft w:val="0"/>
          <w:marRight w:val="0"/>
          <w:marTop w:val="0"/>
          <w:marBottom w:val="0"/>
          <w:divBdr>
            <w:top w:val="none" w:sz="0" w:space="0" w:color="auto"/>
            <w:left w:val="none" w:sz="0" w:space="0" w:color="auto"/>
            <w:bottom w:val="none" w:sz="0" w:space="0" w:color="auto"/>
            <w:right w:val="none" w:sz="0" w:space="0" w:color="auto"/>
          </w:divBdr>
        </w:div>
        <w:div w:id="505288336">
          <w:marLeft w:val="0"/>
          <w:marRight w:val="0"/>
          <w:marTop w:val="0"/>
          <w:marBottom w:val="0"/>
          <w:divBdr>
            <w:top w:val="none" w:sz="0" w:space="0" w:color="auto"/>
            <w:left w:val="none" w:sz="0" w:space="0" w:color="auto"/>
            <w:bottom w:val="none" w:sz="0" w:space="0" w:color="auto"/>
            <w:right w:val="none" w:sz="0" w:space="0" w:color="auto"/>
          </w:divBdr>
        </w:div>
        <w:div w:id="603608965">
          <w:marLeft w:val="0"/>
          <w:marRight w:val="0"/>
          <w:marTop w:val="0"/>
          <w:marBottom w:val="0"/>
          <w:divBdr>
            <w:top w:val="none" w:sz="0" w:space="0" w:color="auto"/>
            <w:left w:val="none" w:sz="0" w:space="0" w:color="auto"/>
            <w:bottom w:val="none" w:sz="0" w:space="0" w:color="auto"/>
            <w:right w:val="none" w:sz="0" w:space="0" w:color="auto"/>
          </w:divBdr>
        </w:div>
        <w:div w:id="607079881">
          <w:marLeft w:val="0"/>
          <w:marRight w:val="0"/>
          <w:marTop w:val="0"/>
          <w:marBottom w:val="0"/>
          <w:divBdr>
            <w:top w:val="none" w:sz="0" w:space="0" w:color="auto"/>
            <w:left w:val="none" w:sz="0" w:space="0" w:color="auto"/>
            <w:bottom w:val="none" w:sz="0" w:space="0" w:color="auto"/>
            <w:right w:val="none" w:sz="0" w:space="0" w:color="auto"/>
          </w:divBdr>
        </w:div>
        <w:div w:id="646710725">
          <w:marLeft w:val="0"/>
          <w:marRight w:val="0"/>
          <w:marTop w:val="0"/>
          <w:marBottom w:val="0"/>
          <w:divBdr>
            <w:top w:val="none" w:sz="0" w:space="0" w:color="auto"/>
            <w:left w:val="none" w:sz="0" w:space="0" w:color="auto"/>
            <w:bottom w:val="none" w:sz="0" w:space="0" w:color="auto"/>
            <w:right w:val="none" w:sz="0" w:space="0" w:color="auto"/>
          </w:divBdr>
        </w:div>
        <w:div w:id="661203022">
          <w:marLeft w:val="0"/>
          <w:marRight w:val="0"/>
          <w:marTop w:val="0"/>
          <w:marBottom w:val="0"/>
          <w:divBdr>
            <w:top w:val="none" w:sz="0" w:space="0" w:color="auto"/>
            <w:left w:val="none" w:sz="0" w:space="0" w:color="auto"/>
            <w:bottom w:val="none" w:sz="0" w:space="0" w:color="auto"/>
            <w:right w:val="none" w:sz="0" w:space="0" w:color="auto"/>
          </w:divBdr>
        </w:div>
        <w:div w:id="766384098">
          <w:marLeft w:val="0"/>
          <w:marRight w:val="0"/>
          <w:marTop w:val="0"/>
          <w:marBottom w:val="0"/>
          <w:divBdr>
            <w:top w:val="none" w:sz="0" w:space="0" w:color="auto"/>
            <w:left w:val="none" w:sz="0" w:space="0" w:color="auto"/>
            <w:bottom w:val="none" w:sz="0" w:space="0" w:color="auto"/>
            <w:right w:val="none" w:sz="0" w:space="0" w:color="auto"/>
          </w:divBdr>
        </w:div>
        <w:div w:id="965044962">
          <w:marLeft w:val="0"/>
          <w:marRight w:val="0"/>
          <w:marTop w:val="0"/>
          <w:marBottom w:val="0"/>
          <w:divBdr>
            <w:top w:val="none" w:sz="0" w:space="0" w:color="auto"/>
            <w:left w:val="none" w:sz="0" w:space="0" w:color="auto"/>
            <w:bottom w:val="none" w:sz="0" w:space="0" w:color="auto"/>
            <w:right w:val="none" w:sz="0" w:space="0" w:color="auto"/>
          </w:divBdr>
          <w:divsChild>
            <w:div w:id="903566593">
              <w:marLeft w:val="-75"/>
              <w:marRight w:val="0"/>
              <w:marTop w:val="30"/>
              <w:marBottom w:val="30"/>
              <w:divBdr>
                <w:top w:val="none" w:sz="0" w:space="0" w:color="auto"/>
                <w:left w:val="none" w:sz="0" w:space="0" w:color="auto"/>
                <w:bottom w:val="none" w:sz="0" w:space="0" w:color="auto"/>
                <w:right w:val="none" w:sz="0" w:space="0" w:color="auto"/>
              </w:divBdr>
              <w:divsChild>
                <w:div w:id="637493371">
                  <w:marLeft w:val="0"/>
                  <w:marRight w:val="0"/>
                  <w:marTop w:val="0"/>
                  <w:marBottom w:val="0"/>
                  <w:divBdr>
                    <w:top w:val="none" w:sz="0" w:space="0" w:color="auto"/>
                    <w:left w:val="none" w:sz="0" w:space="0" w:color="auto"/>
                    <w:bottom w:val="none" w:sz="0" w:space="0" w:color="auto"/>
                    <w:right w:val="none" w:sz="0" w:space="0" w:color="auto"/>
                  </w:divBdr>
                  <w:divsChild>
                    <w:div w:id="1562593546">
                      <w:marLeft w:val="0"/>
                      <w:marRight w:val="0"/>
                      <w:marTop w:val="0"/>
                      <w:marBottom w:val="0"/>
                      <w:divBdr>
                        <w:top w:val="none" w:sz="0" w:space="0" w:color="auto"/>
                        <w:left w:val="none" w:sz="0" w:space="0" w:color="auto"/>
                        <w:bottom w:val="none" w:sz="0" w:space="0" w:color="auto"/>
                        <w:right w:val="none" w:sz="0" w:space="0" w:color="auto"/>
                      </w:divBdr>
                    </w:div>
                  </w:divsChild>
                </w:div>
                <w:div w:id="978607443">
                  <w:marLeft w:val="0"/>
                  <w:marRight w:val="0"/>
                  <w:marTop w:val="0"/>
                  <w:marBottom w:val="0"/>
                  <w:divBdr>
                    <w:top w:val="none" w:sz="0" w:space="0" w:color="auto"/>
                    <w:left w:val="none" w:sz="0" w:space="0" w:color="auto"/>
                    <w:bottom w:val="none" w:sz="0" w:space="0" w:color="auto"/>
                    <w:right w:val="none" w:sz="0" w:space="0" w:color="auto"/>
                  </w:divBdr>
                  <w:divsChild>
                    <w:div w:id="541405639">
                      <w:marLeft w:val="0"/>
                      <w:marRight w:val="0"/>
                      <w:marTop w:val="0"/>
                      <w:marBottom w:val="0"/>
                      <w:divBdr>
                        <w:top w:val="none" w:sz="0" w:space="0" w:color="auto"/>
                        <w:left w:val="none" w:sz="0" w:space="0" w:color="auto"/>
                        <w:bottom w:val="none" w:sz="0" w:space="0" w:color="auto"/>
                        <w:right w:val="none" w:sz="0" w:space="0" w:color="auto"/>
                      </w:divBdr>
                    </w:div>
                  </w:divsChild>
                </w:div>
                <w:div w:id="1496917313">
                  <w:marLeft w:val="0"/>
                  <w:marRight w:val="0"/>
                  <w:marTop w:val="0"/>
                  <w:marBottom w:val="0"/>
                  <w:divBdr>
                    <w:top w:val="none" w:sz="0" w:space="0" w:color="auto"/>
                    <w:left w:val="none" w:sz="0" w:space="0" w:color="auto"/>
                    <w:bottom w:val="none" w:sz="0" w:space="0" w:color="auto"/>
                    <w:right w:val="none" w:sz="0" w:space="0" w:color="auto"/>
                  </w:divBdr>
                  <w:divsChild>
                    <w:div w:id="1472599474">
                      <w:marLeft w:val="0"/>
                      <w:marRight w:val="0"/>
                      <w:marTop w:val="0"/>
                      <w:marBottom w:val="0"/>
                      <w:divBdr>
                        <w:top w:val="none" w:sz="0" w:space="0" w:color="auto"/>
                        <w:left w:val="none" w:sz="0" w:space="0" w:color="auto"/>
                        <w:bottom w:val="none" w:sz="0" w:space="0" w:color="auto"/>
                        <w:right w:val="none" w:sz="0" w:space="0" w:color="auto"/>
                      </w:divBdr>
                    </w:div>
                  </w:divsChild>
                </w:div>
                <w:div w:id="1772119265">
                  <w:marLeft w:val="0"/>
                  <w:marRight w:val="0"/>
                  <w:marTop w:val="0"/>
                  <w:marBottom w:val="0"/>
                  <w:divBdr>
                    <w:top w:val="none" w:sz="0" w:space="0" w:color="auto"/>
                    <w:left w:val="none" w:sz="0" w:space="0" w:color="auto"/>
                    <w:bottom w:val="none" w:sz="0" w:space="0" w:color="auto"/>
                    <w:right w:val="none" w:sz="0" w:space="0" w:color="auto"/>
                  </w:divBdr>
                  <w:divsChild>
                    <w:div w:id="115437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9">
          <w:marLeft w:val="0"/>
          <w:marRight w:val="0"/>
          <w:marTop w:val="0"/>
          <w:marBottom w:val="0"/>
          <w:divBdr>
            <w:top w:val="none" w:sz="0" w:space="0" w:color="auto"/>
            <w:left w:val="none" w:sz="0" w:space="0" w:color="auto"/>
            <w:bottom w:val="none" w:sz="0" w:space="0" w:color="auto"/>
            <w:right w:val="none" w:sz="0" w:space="0" w:color="auto"/>
          </w:divBdr>
        </w:div>
        <w:div w:id="1025906452">
          <w:marLeft w:val="0"/>
          <w:marRight w:val="0"/>
          <w:marTop w:val="0"/>
          <w:marBottom w:val="0"/>
          <w:divBdr>
            <w:top w:val="none" w:sz="0" w:space="0" w:color="auto"/>
            <w:left w:val="none" w:sz="0" w:space="0" w:color="auto"/>
            <w:bottom w:val="none" w:sz="0" w:space="0" w:color="auto"/>
            <w:right w:val="none" w:sz="0" w:space="0" w:color="auto"/>
          </w:divBdr>
        </w:div>
        <w:div w:id="1381519967">
          <w:marLeft w:val="0"/>
          <w:marRight w:val="0"/>
          <w:marTop w:val="0"/>
          <w:marBottom w:val="0"/>
          <w:divBdr>
            <w:top w:val="none" w:sz="0" w:space="0" w:color="auto"/>
            <w:left w:val="none" w:sz="0" w:space="0" w:color="auto"/>
            <w:bottom w:val="none" w:sz="0" w:space="0" w:color="auto"/>
            <w:right w:val="none" w:sz="0" w:space="0" w:color="auto"/>
          </w:divBdr>
        </w:div>
        <w:div w:id="1444612202">
          <w:marLeft w:val="0"/>
          <w:marRight w:val="0"/>
          <w:marTop w:val="0"/>
          <w:marBottom w:val="0"/>
          <w:divBdr>
            <w:top w:val="none" w:sz="0" w:space="0" w:color="auto"/>
            <w:left w:val="none" w:sz="0" w:space="0" w:color="auto"/>
            <w:bottom w:val="none" w:sz="0" w:space="0" w:color="auto"/>
            <w:right w:val="none" w:sz="0" w:space="0" w:color="auto"/>
          </w:divBdr>
        </w:div>
        <w:div w:id="1601373468">
          <w:marLeft w:val="0"/>
          <w:marRight w:val="0"/>
          <w:marTop w:val="0"/>
          <w:marBottom w:val="0"/>
          <w:divBdr>
            <w:top w:val="none" w:sz="0" w:space="0" w:color="auto"/>
            <w:left w:val="none" w:sz="0" w:space="0" w:color="auto"/>
            <w:bottom w:val="none" w:sz="0" w:space="0" w:color="auto"/>
            <w:right w:val="none" w:sz="0" w:space="0" w:color="auto"/>
          </w:divBdr>
        </w:div>
      </w:divsChild>
    </w:div>
    <w:div w:id="676466435">
      <w:bodyDiv w:val="1"/>
      <w:marLeft w:val="0"/>
      <w:marRight w:val="0"/>
      <w:marTop w:val="0"/>
      <w:marBottom w:val="0"/>
      <w:divBdr>
        <w:top w:val="none" w:sz="0" w:space="0" w:color="auto"/>
        <w:left w:val="none" w:sz="0" w:space="0" w:color="auto"/>
        <w:bottom w:val="none" w:sz="0" w:space="0" w:color="auto"/>
        <w:right w:val="none" w:sz="0" w:space="0" w:color="auto"/>
      </w:divBdr>
      <w:divsChild>
        <w:div w:id="236286424">
          <w:marLeft w:val="0"/>
          <w:marRight w:val="0"/>
          <w:marTop w:val="0"/>
          <w:marBottom w:val="0"/>
          <w:divBdr>
            <w:top w:val="none" w:sz="0" w:space="0" w:color="auto"/>
            <w:left w:val="none" w:sz="0" w:space="0" w:color="auto"/>
            <w:bottom w:val="none" w:sz="0" w:space="0" w:color="auto"/>
            <w:right w:val="none" w:sz="0" w:space="0" w:color="auto"/>
          </w:divBdr>
        </w:div>
        <w:div w:id="484398730">
          <w:marLeft w:val="0"/>
          <w:marRight w:val="0"/>
          <w:marTop w:val="0"/>
          <w:marBottom w:val="0"/>
          <w:divBdr>
            <w:top w:val="none" w:sz="0" w:space="0" w:color="auto"/>
            <w:left w:val="none" w:sz="0" w:space="0" w:color="auto"/>
            <w:bottom w:val="none" w:sz="0" w:space="0" w:color="auto"/>
            <w:right w:val="none" w:sz="0" w:space="0" w:color="auto"/>
          </w:divBdr>
        </w:div>
        <w:div w:id="524946624">
          <w:marLeft w:val="0"/>
          <w:marRight w:val="0"/>
          <w:marTop w:val="0"/>
          <w:marBottom w:val="0"/>
          <w:divBdr>
            <w:top w:val="none" w:sz="0" w:space="0" w:color="auto"/>
            <w:left w:val="none" w:sz="0" w:space="0" w:color="auto"/>
            <w:bottom w:val="none" w:sz="0" w:space="0" w:color="auto"/>
            <w:right w:val="none" w:sz="0" w:space="0" w:color="auto"/>
          </w:divBdr>
        </w:div>
        <w:div w:id="532807706">
          <w:marLeft w:val="0"/>
          <w:marRight w:val="0"/>
          <w:marTop w:val="0"/>
          <w:marBottom w:val="0"/>
          <w:divBdr>
            <w:top w:val="none" w:sz="0" w:space="0" w:color="auto"/>
            <w:left w:val="none" w:sz="0" w:space="0" w:color="auto"/>
            <w:bottom w:val="none" w:sz="0" w:space="0" w:color="auto"/>
            <w:right w:val="none" w:sz="0" w:space="0" w:color="auto"/>
          </w:divBdr>
        </w:div>
        <w:div w:id="1758090243">
          <w:marLeft w:val="0"/>
          <w:marRight w:val="0"/>
          <w:marTop w:val="0"/>
          <w:marBottom w:val="0"/>
          <w:divBdr>
            <w:top w:val="none" w:sz="0" w:space="0" w:color="auto"/>
            <w:left w:val="none" w:sz="0" w:space="0" w:color="auto"/>
            <w:bottom w:val="none" w:sz="0" w:space="0" w:color="auto"/>
            <w:right w:val="none" w:sz="0" w:space="0" w:color="auto"/>
          </w:divBdr>
        </w:div>
      </w:divsChild>
    </w:div>
    <w:div w:id="679504574">
      <w:bodyDiv w:val="1"/>
      <w:marLeft w:val="0"/>
      <w:marRight w:val="0"/>
      <w:marTop w:val="0"/>
      <w:marBottom w:val="0"/>
      <w:divBdr>
        <w:top w:val="none" w:sz="0" w:space="0" w:color="auto"/>
        <w:left w:val="none" w:sz="0" w:space="0" w:color="auto"/>
        <w:bottom w:val="none" w:sz="0" w:space="0" w:color="auto"/>
        <w:right w:val="none" w:sz="0" w:space="0" w:color="auto"/>
      </w:divBdr>
      <w:divsChild>
        <w:div w:id="815225099">
          <w:marLeft w:val="0"/>
          <w:marRight w:val="0"/>
          <w:marTop w:val="0"/>
          <w:marBottom w:val="0"/>
          <w:divBdr>
            <w:top w:val="none" w:sz="0" w:space="0" w:color="auto"/>
            <w:left w:val="none" w:sz="0" w:space="0" w:color="auto"/>
            <w:bottom w:val="none" w:sz="0" w:space="0" w:color="auto"/>
            <w:right w:val="none" w:sz="0" w:space="0" w:color="auto"/>
          </w:divBdr>
        </w:div>
      </w:divsChild>
    </w:div>
    <w:div w:id="715350309">
      <w:bodyDiv w:val="1"/>
      <w:marLeft w:val="0"/>
      <w:marRight w:val="0"/>
      <w:marTop w:val="0"/>
      <w:marBottom w:val="0"/>
      <w:divBdr>
        <w:top w:val="none" w:sz="0" w:space="0" w:color="auto"/>
        <w:left w:val="none" w:sz="0" w:space="0" w:color="auto"/>
        <w:bottom w:val="none" w:sz="0" w:space="0" w:color="auto"/>
        <w:right w:val="none" w:sz="0" w:space="0" w:color="auto"/>
      </w:divBdr>
      <w:divsChild>
        <w:div w:id="241330583">
          <w:marLeft w:val="0"/>
          <w:marRight w:val="0"/>
          <w:marTop w:val="0"/>
          <w:marBottom w:val="0"/>
          <w:divBdr>
            <w:top w:val="none" w:sz="0" w:space="0" w:color="auto"/>
            <w:left w:val="none" w:sz="0" w:space="0" w:color="auto"/>
            <w:bottom w:val="none" w:sz="0" w:space="0" w:color="auto"/>
            <w:right w:val="none" w:sz="0" w:space="0" w:color="auto"/>
          </w:divBdr>
        </w:div>
        <w:div w:id="624695271">
          <w:marLeft w:val="0"/>
          <w:marRight w:val="0"/>
          <w:marTop w:val="0"/>
          <w:marBottom w:val="0"/>
          <w:divBdr>
            <w:top w:val="none" w:sz="0" w:space="0" w:color="auto"/>
            <w:left w:val="none" w:sz="0" w:space="0" w:color="auto"/>
            <w:bottom w:val="none" w:sz="0" w:space="0" w:color="auto"/>
            <w:right w:val="none" w:sz="0" w:space="0" w:color="auto"/>
          </w:divBdr>
        </w:div>
        <w:div w:id="1206681343">
          <w:marLeft w:val="0"/>
          <w:marRight w:val="0"/>
          <w:marTop w:val="0"/>
          <w:marBottom w:val="0"/>
          <w:divBdr>
            <w:top w:val="none" w:sz="0" w:space="0" w:color="auto"/>
            <w:left w:val="none" w:sz="0" w:space="0" w:color="auto"/>
            <w:bottom w:val="none" w:sz="0" w:space="0" w:color="auto"/>
            <w:right w:val="none" w:sz="0" w:space="0" w:color="auto"/>
          </w:divBdr>
        </w:div>
        <w:div w:id="1574124102">
          <w:marLeft w:val="0"/>
          <w:marRight w:val="0"/>
          <w:marTop w:val="0"/>
          <w:marBottom w:val="0"/>
          <w:divBdr>
            <w:top w:val="none" w:sz="0" w:space="0" w:color="auto"/>
            <w:left w:val="none" w:sz="0" w:space="0" w:color="auto"/>
            <w:bottom w:val="none" w:sz="0" w:space="0" w:color="auto"/>
            <w:right w:val="none" w:sz="0" w:space="0" w:color="auto"/>
          </w:divBdr>
          <w:divsChild>
            <w:div w:id="96026665">
              <w:marLeft w:val="0"/>
              <w:marRight w:val="0"/>
              <w:marTop w:val="0"/>
              <w:marBottom w:val="0"/>
              <w:divBdr>
                <w:top w:val="none" w:sz="0" w:space="0" w:color="auto"/>
                <w:left w:val="none" w:sz="0" w:space="0" w:color="auto"/>
                <w:bottom w:val="none" w:sz="0" w:space="0" w:color="auto"/>
                <w:right w:val="none" w:sz="0" w:space="0" w:color="auto"/>
              </w:divBdr>
            </w:div>
            <w:div w:id="311256390">
              <w:marLeft w:val="0"/>
              <w:marRight w:val="0"/>
              <w:marTop w:val="0"/>
              <w:marBottom w:val="0"/>
              <w:divBdr>
                <w:top w:val="none" w:sz="0" w:space="0" w:color="auto"/>
                <w:left w:val="none" w:sz="0" w:space="0" w:color="auto"/>
                <w:bottom w:val="none" w:sz="0" w:space="0" w:color="auto"/>
                <w:right w:val="none" w:sz="0" w:space="0" w:color="auto"/>
              </w:divBdr>
            </w:div>
            <w:div w:id="855660300">
              <w:marLeft w:val="0"/>
              <w:marRight w:val="0"/>
              <w:marTop w:val="0"/>
              <w:marBottom w:val="0"/>
              <w:divBdr>
                <w:top w:val="none" w:sz="0" w:space="0" w:color="auto"/>
                <w:left w:val="none" w:sz="0" w:space="0" w:color="auto"/>
                <w:bottom w:val="none" w:sz="0" w:space="0" w:color="auto"/>
                <w:right w:val="none" w:sz="0" w:space="0" w:color="auto"/>
              </w:divBdr>
            </w:div>
            <w:div w:id="1708143611">
              <w:marLeft w:val="0"/>
              <w:marRight w:val="0"/>
              <w:marTop w:val="0"/>
              <w:marBottom w:val="0"/>
              <w:divBdr>
                <w:top w:val="none" w:sz="0" w:space="0" w:color="auto"/>
                <w:left w:val="none" w:sz="0" w:space="0" w:color="auto"/>
                <w:bottom w:val="none" w:sz="0" w:space="0" w:color="auto"/>
                <w:right w:val="none" w:sz="0" w:space="0" w:color="auto"/>
              </w:divBdr>
            </w:div>
            <w:div w:id="1989359753">
              <w:marLeft w:val="0"/>
              <w:marRight w:val="0"/>
              <w:marTop w:val="0"/>
              <w:marBottom w:val="0"/>
              <w:divBdr>
                <w:top w:val="none" w:sz="0" w:space="0" w:color="auto"/>
                <w:left w:val="none" w:sz="0" w:space="0" w:color="auto"/>
                <w:bottom w:val="none" w:sz="0" w:space="0" w:color="auto"/>
                <w:right w:val="none" w:sz="0" w:space="0" w:color="auto"/>
              </w:divBdr>
            </w:div>
          </w:divsChild>
        </w:div>
        <w:div w:id="1727416080">
          <w:marLeft w:val="0"/>
          <w:marRight w:val="0"/>
          <w:marTop w:val="0"/>
          <w:marBottom w:val="0"/>
          <w:divBdr>
            <w:top w:val="none" w:sz="0" w:space="0" w:color="auto"/>
            <w:left w:val="none" w:sz="0" w:space="0" w:color="auto"/>
            <w:bottom w:val="none" w:sz="0" w:space="0" w:color="auto"/>
            <w:right w:val="none" w:sz="0" w:space="0" w:color="auto"/>
          </w:divBdr>
        </w:div>
        <w:div w:id="1953324495">
          <w:marLeft w:val="0"/>
          <w:marRight w:val="0"/>
          <w:marTop w:val="0"/>
          <w:marBottom w:val="0"/>
          <w:divBdr>
            <w:top w:val="none" w:sz="0" w:space="0" w:color="auto"/>
            <w:left w:val="none" w:sz="0" w:space="0" w:color="auto"/>
            <w:bottom w:val="none" w:sz="0" w:space="0" w:color="auto"/>
            <w:right w:val="none" w:sz="0" w:space="0" w:color="auto"/>
          </w:divBdr>
        </w:div>
        <w:div w:id="1984581380">
          <w:marLeft w:val="0"/>
          <w:marRight w:val="0"/>
          <w:marTop w:val="0"/>
          <w:marBottom w:val="0"/>
          <w:divBdr>
            <w:top w:val="none" w:sz="0" w:space="0" w:color="auto"/>
            <w:left w:val="none" w:sz="0" w:space="0" w:color="auto"/>
            <w:bottom w:val="none" w:sz="0" w:space="0" w:color="auto"/>
            <w:right w:val="none" w:sz="0" w:space="0" w:color="auto"/>
          </w:divBdr>
        </w:div>
        <w:div w:id="2021664023">
          <w:marLeft w:val="0"/>
          <w:marRight w:val="0"/>
          <w:marTop w:val="0"/>
          <w:marBottom w:val="0"/>
          <w:divBdr>
            <w:top w:val="none" w:sz="0" w:space="0" w:color="auto"/>
            <w:left w:val="none" w:sz="0" w:space="0" w:color="auto"/>
            <w:bottom w:val="none" w:sz="0" w:space="0" w:color="auto"/>
            <w:right w:val="none" w:sz="0" w:space="0" w:color="auto"/>
          </w:divBdr>
        </w:div>
      </w:divsChild>
    </w:div>
    <w:div w:id="744761652">
      <w:bodyDiv w:val="1"/>
      <w:marLeft w:val="0"/>
      <w:marRight w:val="0"/>
      <w:marTop w:val="0"/>
      <w:marBottom w:val="0"/>
      <w:divBdr>
        <w:top w:val="none" w:sz="0" w:space="0" w:color="auto"/>
        <w:left w:val="none" w:sz="0" w:space="0" w:color="auto"/>
        <w:bottom w:val="none" w:sz="0" w:space="0" w:color="auto"/>
        <w:right w:val="none" w:sz="0" w:space="0" w:color="auto"/>
      </w:divBdr>
      <w:divsChild>
        <w:div w:id="124930607">
          <w:marLeft w:val="0"/>
          <w:marRight w:val="0"/>
          <w:marTop w:val="0"/>
          <w:marBottom w:val="0"/>
          <w:divBdr>
            <w:top w:val="none" w:sz="0" w:space="0" w:color="auto"/>
            <w:left w:val="none" w:sz="0" w:space="0" w:color="auto"/>
            <w:bottom w:val="none" w:sz="0" w:space="0" w:color="auto"/>
            <w:right w:val="none" w:sz="0" w:space="0" w:color="auto"/>
          </w:divBdr>
        </w:div>
        <w:div w:id="188954969">
          <w:marLeft w:val="0"/>
          <w:marRight w:val="0"/>
          <w:marTop w:val="0"/>
          <w:marBottom w:val="0"/>
          <w:divBdr>
            <w:top w:val="none" w:sz="0" w:space="0" w:color="auto"/>
            <w:left w:val="none" w:sz="0" w:space="0" w:color="auto"/>
            <w:bottom w:val="none" w:sz="0" w:space="0" w:color="auto"/>
            <w:right w:val="none" w:sz="0" w:space="0" w:color="auto"/>
          </w:divBdr>
        </w:div>
        <w:div w:id="646402030">
          <w:marLeft w:val="0"/>
          <w:marRight w:val="0"/>
          <w:marTop w:val="0"/>
          <w:marBottom w:val="0"/>
          <w:divBdr>
            <w:top w:val="none" w:sz="0" w:space="0" w:color="auto"/>
            <w:left w:val="none" w:sz="0" w:space="0" w:color="auto"/>
            <w:bottom w:val="none" w:sz="0" w:space="0" w:color="auto"/>
            <w:right w:val="none" w:sz="0" w:space="0" w:color="auto"/>
          </w:divBdr>
        </w:div>
        <w:div w:id="930745976">
          <w:marLeft w:val="0"/>
          <w:marRight w:val="0"/>
          <w:marTop w:val="0"/>
          <w:marBottom w:val="0"/>
          <w:divBdr>
            <w:top w:val="none" w:sz="0" w:space="0" w:color="auto"/>
            <w:left w:val="none" w:sz="0" w:space="0" w:color="auto"/>
            <w:bottom w:val="none" w:sz="0" w:space="0" w:color="auto"/>
            <w:right w:val="none" w:sz="0" w:space="0" w:color="auto"/>
          </w:divBdr>
        </w:div>
        <w:div w:id="1806897890">
          <w:marLeft w:val="0"/>
          <w:marRight w:val="0"/>
          <w:marTop w:val="0"/>
          <w:marBottom w:val="0"/>
          <w:divBdr>
            <w:top w:val="none" w:sz="0" w:space="0" w:color="auto"/>
            <w:left w:val="none" w:sz="0" w:space="0" w:color="auto"/>
            <w:bottom w:val="none" w:sz="0" w:space="0" w:color="auto"/>
            <w:right w:val="none" w:sz="0" w:space="0" w:color="auto"/>
          </w:divBdr>
        </w:div>
      </w:divsChild>
    </w:div>
    <w:div w:id="748187704">
      <w:bodyDiv w:val="1"/>
      <w:marLeft w:val="0"/>
      <w:marRight w:val="0"/>
      <w:marTop w:val="0"/>
      <w:marBottom w:val="0"/>
      <w:divBdr>
        <w:top w:val="none" w:sz="0" w:space="0" w:color="auto"/>
        <w:left w:val="none" w:sz="0" w:space="0" w:color="auto"/>
        <w:bottom w:val="none" w:sz="0" w:space="0" w:color="auto"/>
        <w:right w:val="none" w:sz="0" w:space="0" w:color="auto"/>
      </w:divBdr>
      <w:divsChild>
        <w:div w:id="333992166">
          <w:marLeft w:val="0"/>
          <w:marRight w:val="0"/>
          <w:marTop w:val="0"/>
          <w:marBottom w:val="0"/>
          <w:divBdr>
            <w:top w:val="none" w:sz="0" w:space="0" w:color="auto"/>
            <w:left w:val="none" w:sz="0" w:space="0" w:color="auto"/>
            <w:bottom w:val="none" w:sz="0" w:space="0" w:color="auto"/>
            <w:right w:val="none" w:sz="0" w:space="0" w:color="auto"/>
          </w:divBdr>
        </w:div>
        <w:div w:id="733309085">
          <w:marLeft w:val="0"/>
          <w:marRight w:val="0"/>
          <w:marTop w:val="0"/>
          <w:marBottom w:val="0"/>
          <w:divBdr>
            <w:top w:val="none" w:sz="0" w:space="0" w:color="auto"/>
            <w:left w:val="none" w:sz="0" w:space="0" w:color="auto"/>
            <w:bottom w:val="none" w:sz="0" w:space="0" w:color="auto"/>
            <w:right w:val="none" w:sz="0" w:space="0" w:color="auto"/>
          </w:divBdr>
        </w:div>
        <w:div w:id="979768016">
          <w:marLeft w:val="0"/>
          <w:marRight w:val="0"/>
          <w:marTop w:val="0"/>
          <w:marBottom w:val="0"/>
          <w:divBdr>
            <w:top w:val="none" w:sz="0" w:space="0" w:color="auto"/>
            <w:left w:val="none" w:sz="0" w:space="0" w:color="auto"/>
            <w:bottom w:val="none" w:sz="0" w:space="0" w:color="auto"/>
            <w:right w:val="none" w:sz="0" w:space="0" w:color="auto"/>
          </w:divBdr>
        </w:div>
        <w:div w:id="1188593248">
          <w:marLeft w:val="0"/>
          <w:marRight w:val="0"/>
          <w:marTop w:val="0"/>
          <w:marBottom w:val="0"/>
          <w:divBdr>
            <w:top w:val="none" w:sz="0" w:space="0" w:color="auto"/>
            <w:left w:val="none" w:sz="0" w:space="0" w:color="auto"/>
            <w:bottom w:val="none" w:sz="0" w:space="0" w:color="auto"/>
            <w:right w:val="none" w:sz="0" w:space="0" w:color="auto"/>
          </w:divBdr>
        </w:div>
        <w:div w:id="1253512454">
          <w:marLeft w:val="0"/>
          <w:marRight w:val="0"/>
          <w:marTop w:val="0"/>
          <w:marBottom w:val="0"/>
          <w:divBdr>
            <w:top w:val="none" w:sz="0" w:space="0" w:color="auto"/>
            <w:left w:val="none" w:sz="0" w:space="0" w:color="auto"/>
            <w:bottom w:val="none" w:sz="0" w:space="0" w:color="auto"/>
            <w:right w:val="none" w:sz="0" w:space="0" w:color="auto"/>
          </w:divBdr>
        </w:div>
        <w:div w:id="1311447854">
          <w:marLeft w:val="0"/>
          <w:marRight w:val="0"/>
          <w:marTop w:val="0"/>
          <w:marBottom w:val="0"/>
          <w:divBdr>
            <w:top w:val="none" w:sz="0" w:space="0" w:color="auto"/>
            <w:left w:val="none" w:sz="0" w:space="0" w:color="auto"/>
            <w:bottom w:val="none" w:sz="0" w:space="0" w:color="auto"/>
            <w:right w:val="none" w:sz="0" w:space="0" w:color="auto"/>
          </w:divBdr>
        </w:div>
        <w:div w:id="1781410907">
          <w:marLeft w:val="0"/>
          <w:marRight w:val="0"/>
          <w:marTop w:val="0"/>
          <w:marBottom w:val="0"/>
          <w:divBdr>
            <w:top w:val="none" w:sz="0" w:space="0" w:color="auto"/>
            <w:left w:val="none" w:sz="0" w:space="0" w:color="auto"/>
            <w:bottom w:val="none" w:sz="0" w:space="0" w:color="auto"/>
            <w:right w:val="none" w:sz="0" w:space="0" w:color="auto"/>
          </w:divBdr>
        </w:div>
      </w:divsChild>
    </w:div>
    <w:div w:id="759453537">
      <w:bodyDiv w:val="1"/>
      <w:marLeft w:val="0"/>
      <w:marRight w:val="0"/>
      <w:marTop w:val="0"/>
      <w:marBottom w:val="0"/>
      <w:divBdr>
        <w:top w:val="none" w:sz="0" w:space="0" w:color="auto"/>
        <w:left w:val="none" w:sz="0" w:space="0" w:color="auto"/>
        <w:bottom w:val="none" w:sz="0" w:space="0" w:color="auto"/>
        <w:right w:val="none" w:sz="0" w:space="0" w:color="auto"/>
      </w:divBdr>
      <w:divsChild>
        <w:div w:id="479225969">
          <w:marLeft w:val="0"/>
          <w:marRight w:val="0"/>
          <w:marTop w:val="0"/>
          <w:marBottom w:val="0"/>
          <w:divBdr>
            <w:top w:val="none" w:sz="0" w:space="0" w:color="auto"/>
            <w:left w:val="none" w:sz="0" w:space="0" w:color="auto"/>
            <w:bottom w:val="none" w:sz="0" w:space="0" w:color="auto"/>
            <w:right w:val="none" w:sz="0" w:space="0" w:color="auto"/>
          </w:divBdr>
        </w:div>
        <w:div w:id="1739401747">
          <w:marLeft w:val="0"/>
          <w:marRight w:val="0"/>
          <w:marTop w:val="0"/>
          <w:marBottom w:val="0"/>
          <w:divBdr>
            <w:top w:val="none" w:sz="0" w:space="0" w:color="auto"/>
            <w:left w:val="none" w:sz="0" w:space="0" w:color="auto"/>
            <w:bottom w:val="none" w:sz="0" w:space="0" w:color="auto"/>
            <w:right w:val="none" w:sz="0" w:space="0" w:color="auto"/>
          </w:divBdr>
        </w:div>
        <w:div w:id="1875576245">
          <w:marLeft w:val="0"/>
          <w:marRight w:val="0"/>
          <w:marTop w:val="0"/>
          <w:marBottom w:val="0"/>
          <w:divBdr>
            <w:top w:val="none" w:sz="0" w:space="0" w:color="auto"/>
            <w:left w:val="none" w:sz="0" w:space="0" w:color="auto"/>
            <w:bottom w:val="none" w:sz="0" w:space="0" w:color="auto"/>
            <w:right w:val="none" w:sz="0" w:space="0" w:color="auto"/>
          </w:divBdr>
        </w:div>
        <w:div w:id="2005627377">
          <w:marLeft w:val="0"/>
          <w:marRight w:val="0"/>
          <w:marTop w:val="0"/>
          <w:marBottom w:val="0"/>
          <w:divBdr>
            <w:top w:val="none" w:sz="0" w:space="0" w:color="auto"/>
            <w:left w:val="none" w:sz="0" w:space="0" w:color="auto"/>
            <w:bottom w:val="none" w:sz="0" w:space="0" w:color="auto"/>
            <w:right w:val="none" w:sz="0" w:space="0" w:color="auto"/>
          </w:divBdr>
        </w:div>
        <w:div w:id="2102753970">
          <w:marLeft w:val="0"/>
          <w:marRight w:val="0"/>
          <w:marTop w:val="0"/>
          <w:marBottom w:val="0"/>
          <w:divBdr>
            <w:top w:val="none" w:sz="0" w:space="0" w:color="auto"/>
            <w:left w:val="none" w:sz="0" w:space="0" w:color="auto"/>
            <w:bottom w:val="none" w:sz="0" w:space="0" w:color="auto"/>
            <w:right w:val="none" w:sz="0" w:space="0" w:color="auto"/>
          </w:divBdr>
        </w:div>
      </w:divsChild>
    </w:div>
    <w:div w:id="773012158">
      <w:bodyDiv w:val="1"/>
      <w:marLeft w:val="0"/>
      <w:marRight w:val="0"/>
      <w:marTop w:val="0"/>
      <w:marBottom w:val="0"/>
      <w:divBdr>
        <w:top w:val="none" w:sz="0" w:space="0" w:color="auto"/>
        <w:left w:val="none" w:sz="0" w:space="0" w:color="auto"/>
        <w:bottom w:val="none" w:sz="0" w:space="0" w:color="auto"/>
        <w:right w:val="none" w:sz="0" w:space="0" w:color="auto"/>
      </w:divBdr>
      <w:divsChild>
        <w:div w:id="108280256">
          <w:marLeft w:val="0"/>
          <w:marRight w:val="0"/>
          <w:marTop w:val="0"/>
          <w:marBottom w:val="0"/>
          <w:divBdr>
            <w:top w:val="none" w:sz="0" w:space="0" w:color="auto"/>
            <w:left w:val="none" w:sz="0" w:space="0" w:color="auto"/>
            <w:bottom w:val="none" w:sz="0" w:space="0" w:color="auto"/>
            <w:right w:val="none" w:sz="0" w:space="0" w:color="auto"/>
          </w:divBdr>
        </w:div>
        <w:div w:id="259023022">
          <w:marLeft w:val="0"/>
          <w:marRight w:val="0"/>
          <w:marTop w:val="0"/>
          <w:marBottom w:val="0"/>
          <w:divBdr>
            <w:top w:val="none" w:sz="0" w:space="0" w:color="auto"/>
            <w:left w:val="none" w:sz="0" w:space="0" w:color="auto"/>
            <w:bottom w:val="none" w:sz="0" w:space="0" w:color="auto"/>
            <w:right w:val="none" w:sz="0" w:space="0" w:color="auto"/>
          </w:divBdr>
        </w:div>
        <w:div w:id="317000009">
          <w:marLeft w:val="0"/>
          <w:marRight w:val="0"/>
          <w:marTop w:val="0"/>
          <w:marBottom w:val="0"/>
          <w:divBdr>
            <w:top w:val="none" w:sz="0" w:space="0" w:color="auto"/>
            <w:left w:val="none" w:sz="0" w:space="0" w:color="auto"/>
            <w:bottom w:val="none" w:sz="0" w:space="0" w:color="auto"/>
            <w:right w:val="none" w:sz="0" w:space="0" w:color="auto"/>
          </w:divBdr>
        </w:div>
        <w:div w:id="616329147">
          <w:marLeft w:val="0"/>
          <w:marRight w:val="0"/>
          <w:marTop w:val="0"/>
          <w:marBottom w:val="0"/>
          <w:divBdr>
            <w:top w:val="none" w:sz="0" w:space="0" w:color="auto"/>
            <w:left w:val="none" w:sz="0" w:space="0" w:color="auto"/>
            <w:bottom w:val="none" w:sz="0" w:space="0" w:color="auto"/>
            <w:right w:val="none" w:sz="0" w:space="0" w:color="auto"/>
          </w:divBdr>
        </w:div>
        <w:div w:id="1516461606">
          <w:marLeft w:val="0"/>
          <w:marRight w:val="0"/>
          <w:marTop w:val="0"/>
          <w:marBottom w:val="0"/>
          <w:divBdr>
            <w:top w:val="none" w:sz="0" w:space="0" w:color="auto"/>
            <w:left w:val="none" w:sz="0" w:space="0" w:color="auto"/>
            <w:bottom w:val="none" w:sz="0" w:space="0" w:color="auto"/>
            <w:right w:val="none" w:sz="0" w:space="0" w:color="auto"/>
          </w:divBdr>
        </w:div>
      </w:divsChild>
    </w:div>
    <w:div w:id="778137135">
      <w:bodyDiv w:val="1"/>
      <w:marLeft w:val="0"/>
      <w:marRight w:val="0"/>
      <w:marTop w:val="0"/>
      <w:marBottom w:val="0"/>
      <w:divBdr>
        <w:top w:val="none" w:sz="0" w:space="0" w:color="auto"/>
        <w:left w:val="none" w:sz="0" w:space="0" w:color="auto"/>
        <w:bottom w:val="none" w:sz="0" w:space="0" w:color="auto"/>
        <w:right w:val="none" w:sz="0" w:space="0" w:color="auto"/>
      </w:divBdr>
      <w:divsChild>
        <w:div w:id="580213564">
          <w:marLeft w:val="0"/>
          <w:marRight w:val="0"/>
          <w:marTop w:val="0"/>
          <w:marBottom w:val="0"/>
          <w:divBdr>
            <w:top w:val="none" w:sz="0" w:space="0" w:color="auto"/>
            <w:left w:val="none" w:sz="0" w:space="0" w:color="auto"/>
            <w:bottom w:val="none" w:sz="0" w:space="0" w:color="auto"/>
            <w:right w:val="none" w:sz="0" w:space="0" w:color="auto"/>
          </w:divBdr>
        </w:div>
        <w:div w:id="597566980">
          <w:marLeft w:val="0"/>
          <w:marRight w:val="0"/>
          <w:marTop w:val="0"/>
          <w:marBottom w:val="0"/>
          <w:divBdr>
            <w:top w:val="none" w:sz="0" w:space="0" w:color="auto"/>
            <w:left w:val="none" w:sz="0" w:space="0" w:color="auto"/>
            <w:bottom w:val="none" w:sz="0" w:space="0" w:color="auto"/>
            <w:right w:val="none" w:sz="0" w:space="0" w:color="auto"/>
          </w:divBdr>
        </w:div>
        <w:div w:id="1158568924">
          <w:marLeft w:val="0"/>
          <w:marRight w:val="0"/>
          <w:marTop w:val="0"/>
          <w:marBottom w:val="0"/>
          <w:divBdr>
            <w:top w:val="none" w:sz="0" w:space="0" w:color="auto"/>
            <w:left w:val="none" w:sz="0" w:space="0" w:color="auto"/>
            <w:bottom w:val="none" w:sz="0" w:space="0" w:color="auto"/>
            <w:right w:val="none" w:sz="0" w:space="0" w:color="auto"/>
          </w:divBdr>
        </w:div>
        <w:div w:id="1776365603">
          <w:marLeft w:val="0"/>
          <w:marRight w:val="0"/>
          <w:marTop w:val="0"/>
          <w:marBottom w:val="0"/>
          <w:divBdr>
            <w:top w:val="none" w:sz="0" w:space="0" w:color="auto"/>
            <w:left w:val="none" w:sz="0" w:space="0" w:color="auto"/>
            <w:bottom w:val="none" w:sz="0" w:space="0" w:color="auto"/>
            <w:right w:val="none" w:sz="0" w:space="0" w:color="auto"/>
          </w:divBdr>
        </w:div>
        <w:div w:id="1936354509">
          <w:marLeft w:val="0"/>
          <w:marRight w:val="0"/>
          <w:marTop w:val="0"/>
          <w:marBottom w:val="0"/>
          <w:divBdr>
            <w:top w:val="none" w:sz="0" w:space="0" w:color="auto"/>
            <w:left w:val="none" w:sz="0" w:space="0" w:color="auto"/>
            <w:bottom w:val="none" w:sz="0" w:space="0" w:color="auto"/>
            <w:right w:val="none" w:sz="0" w:space="0" w:color="auto"/>
          </w:divBdr>
        </w:div>
      </w:divsChild>
    </w:div>
    <w:div w:id="797184055">
      <w:bodyDiv w:val="1"/>
      <w:marLeft w:val="0"/>
      <w:marRight w:val="0"/>
      <w:marTop w:val="0"/>
      <w:marBottom w:val="0"/>
      <w:divBdr>
        <w:top w:val="none" w:sz="0" w:space="0" w:color="auto"/>
        <w:left w:val="none" w:sz="0" w:space="0" w:color="auto"/>
        <w:bottom w:val="none" w:sz="0" w:space="0" w:color="auto"/>
        <w:right w:val="none" w:sz="0" w:space="0" w:color="auto"/>
      </w:divBdr>
      <w:divsChild>
        <w:div w:id="440537254">
          <w:marLeft w:val="0"/>
          <w:marRight w:val="0"/>
          <w:marTop w:val="0"/>
          <w:marBottom w:val="0"/>
          <w:divBdr>
            <w:top w:val="none" w:sz="0" w:space="0" w:color="auto"/>
            <w:left w:val="none" w:sz="0" w:space="0" w:color="auto"/>
            <w:bottom w:val="none" w:sz="0" w:space="0" w:color="auto"/>
            <w:right w:val="none" w:sz="0" w:space="0" w:color="auto"/>
          </w:divBdr>
        </w:div>
        <w:div w:id="549221266">
          <w:marLeft w:val="0"/>
          <w:marRight w:val="0"/>
          <w:marTop w:val="0"/>
          <w:marBottom w:val="0"/>
          <w:divBdr>
            <w:top w:val="none" w:sz="0" w:space="0" w:color="auto"/>
            <w:left w:val="none" w:sz="0" w:space="0" w:color="auto"/>
            <w:bottom w:val="none" w:sz="0" w:space="0" w:color="auto"/>
            <w:right w:val="none" w:sz="0" w:space="0" w:color="auto"/>
          </w:divBdr>
        </w:div>
        <w:div w:id="1144008071">
          <w:marLeft w:val="0"/>
          <w:marRight w:val="0"/>
          <w:marTop w:val="0"/>
          <w:marBottom w:val="0"/>
          <w:divBdr>
            <w:top w:val="none" w:sz="0" w:space="0" w:color="auto"/>
            <w:left w:val="none" w:sz="0" w:space="0" w:color="auto"/>
            <w:bottom w:val="none" w:sz="0" w:space="0" w:color="auto"/>
            <w:right w:val="none" w:sz="0" w:space="0" w:color="auto"/>
          </w:divBdr>
        </w:div>
        <w:div w:id="1416897382">
          <w:marLeft w:val="0"/>
          <w:marRight w:val="0"/>
          <w:marTop w:val="0"/>
          <w:marBottom w:val="0"/>
          <w:divBdr>
            <w:top w:val="none" w:sz="0" w:space="0" w:color="auto"/>
            <w:left w:val="none" w:sz="0" w:space="0" w:color="auto"/>
            <w:bottom w:val="none" w:sz="0" w:space="0" w:color="auto"/>
            <w:right w:val="none" w:sz="0" w:space="0" w:color="auto"/>
          </w:divBdr>
        </w:div>
        <w:div w:id="1534030474">
          <w:marLeft w:val="0"/>
          <w:marRight w:val="0"/>
          <w:marTop w:val="0"/>
          <w:marBottom w:val="0"/>
          <w:divBdr>
            <w:top w:val="none" w:sz="0" w:space="0" w:color="auto"/>
            <w:left w:val="none" w:sz="0" w:space="0" w:color="auto"/>
            <w:bottom w:val="none" w:sz="0" w:space="0" w:color="auto"/>
            <w:right w:val="none" w:sz="0" w:space="0" w:color="auto"/>
          </w:divBdr>
        </w:div>
      </w:divsChild>
    </w:div>
    <w:div w:id="810366997">
      <w:bodyDiv w:val="1"/>
      <w:marLeft w:val="0"/>
      <w:marRight w:val="0"/>
      <w:marTop w:val="0"/>
      <w:marBottom w:val="0"/>
      <w:divBdr>
        <w:top w:val="none" w:sz="0" w:space="0" w:color="auto"/>
        <w:left w:val="none" w:sz="0" w:space="0" w:color="auto"/>
        <w:bottom w:val="none" w:sz="0" w:space="0" w:color="auto"/>
        <w:right w:val="none" w:sz="0" w:space="0" w:color="auto"/>
      </w:divBdr>
      <w:divsChild>
        <w:div w:id="357134">
          <w:marLeft w:val="0"/>
          <w:marRight w:val="0"/>
          <w:marTop w:val="0"/>
          <w:marBottom w:val="0"/>
          <w:divBdr>
            <w:top w:val="none" w:sz="0" w:space="0" w:color="auto"/>
            <w:left w:val="none" w:sz="0" w:space="0" w:color="auto"/>
            <w:bottom w:val="none" w:sz="0" w:space="0" w:color="auto"/>
            <w:right w:val="none" w:sz="0" w:space="0" w:color="auto"/>
          </w:divBdr>
        </w:div>
        <w:div w:id="121730331">
          <w:marLeft w:val="0"/>
          <w:marRight w:val="0"/>
          <w:marTop w:val="0"/>
          <w:marBottom w:val="0"/>
          <w:divBdr>
            <w:top w:val="none" w:sz="0" w:space="0" w:color="auto"/>
            <w:left w:val="none" w:sz="0" w:space="0" w:color="auto"/>
            <w:bottom w:val="none" w:sz="0" w:space="0" w:color="auto"/>
            <w:right w:val="none" w:sz="0" w:space="0" w:color="auto"/>
          </w:divBdr>
        </w:div>
        <w:div w:id="793715888">
          <w:marLeft w:val="0"/>
          <w:marRight w:val="0"/>
          <w:marTop w:val="0"/>
          <w:marBottom w:val="0"/>
          <w:divBdr>
            <w:top w:val="none" w:sz="0" w:space="0" w:color="auto"/>
            <w:left w:val="none" w:sz="0" w:space="0" w:color="auto"/>
            <w:bottom w:val="none" w:sz="0" w:space="0" w:color="auto"/>
            <w:right w:val="none" w:sz="0" w:space="0" w:color="auto"/>
          </w:divBdr>
        </w:div>
        <w:div w:id="1084884567">
          <w:marLeft w:val="0"/>
          <w:marRight w:val="0"/>
          <w:marTop w:val="0"/>
          <w:marBottom w:val="0"/>
          <w:divBdr>
            <w:top w:val="none" w:sz="0" w:space="0" w:color="auto"/>
            <w:left w:val="none" w:sz="0" w:space="0" w:color="auto"/>
            <w:bottom w:val="none" w:sz="0" w:space="0" w:color="auto"/>
            <w:right w:val="none" w:sz="0" w:space="0" w:color="auto"/>
          </w:divBdr>
        </w:div>
        <w:div w:id="2130276023">
          <w:marLeft w:val="0"/>
          <w:marRight w:val="0"/>
          <w:marTop w:val="0"/>
          <w:marBottom w:val="0"/>
          <w:divBdr>
            <w:top w:val="none" w:sz="0" w:space="0" w:color="auto"/>
            <w:left w:val="none" w:sz="0" w:space="0" w:color="auto"/>
            <w:bottom w:val="none" w:sz="0" w:space="0" w:color="auto"/>
            <w:right w:val="none" w:sz="0" w:space="0" w:color="auto"/>
          </w:divBdr>
        </w:div>
      </w:divsChild>
    </w:div>
    <w:div w:id="813176409">
      <w:bodyDiv w:val="1"/>
      <w:marLeft w:val="0"/>
      <w:marRight w:val="0"/>
      <w:marTop w:val="0"/>
      <w:marBottom w:val="0"/>
      <w:divBdr>
        <w:top w:val="none" w:sz="0" w:space="0" w:color="auto"/>
        <w:left w:val="none" w:sz="0" w:space="0" w:color="auto"/>
        <w:bottom w:val="none" w:sz="0" w:space="0" w:color="auto"/>
        <w:right w:val="none" w:sz="0" w:space="0" w:color="auto"/>
      </w:divBdr>
      <w:divsChild>
        <w:div w:id="263001125">
          <w:marLeft w:val="0"/>
          <w:marRight w:val="0"/>
          <w:marTop w:val="0"/>
          <w:marBottom w:val="0"/>
          <w:divBdr>
            <w:top w:val="none" w:sz="0" w:space="0" w:color="auto"/>
            <w:left w:val="none" w:sz="0" w:space="0" w:color="auto"/>
            <w:bottom w:val="none" w:sz="0" w:space="0" w:color="auto"/>
            <w:right w:val="none" w:sz="0" w:space="0" w:color="auto"/>
          </w:divBdr>
        </w:div>
        <w:div w:id="430397393">
          <w:marLeft w:val="0"/>
          <w:marRight w:val="0"/>
          <w:marTop w:val="0"/>
          <w:marBottom w:val="0"/>
          <w:divBdr>
            <w:top w:val="none" w:sz="0" w:space="0" w:color="auto"/>
            <w:left w:val="none" w:sz="0" w:space="0" w:color="auto"/>
            <w:bottom w:val="none" w:sz="0" w:space="0" w:color="auto"/>
            <w:right w:val="none" w:sz="0" w:space="0" w:color="auto"/>
          </w:divBdr>
        </w:div>
        <w:div w:id="923034221">
          <w:marLeft w:val="0"/>
          <w:marRight w:val="0"/>
          <w:marTop w:val="0"/>
          <w:marBottom w:val="0"/>
          <w:divBdr>
            <w:top w:val="none" w:sz="0" w:space="0" w:color="auto"/>
            <w:left w:val="none" w:sz="0" w:space="0" w:color="auto"/>
            <w:bottom w:val="none" w:sz="0" w:space="0" w:color="auto"/>
            <w:right w:val="none" w:sz="0" w:space="0" w:color="auto"/>
          </w:divBdr>
        </w:div>
        <w:div w:id="1016660580">
          <w:marLeft w:val="0"/>
          <w:marRight w:val="0"/>
          <w:marTop w:val="0"/>
          <w:marBottom w:val="0"/>
          <w:divBdr>
            <w:top w:val="none" w:sz="0" w:space="0" w:color="auto"/>
            <w:left w:val="none" w:sz="0" w:space="0" w:color="auto"/>
            <w:bottom w:val="none" w:sz="0" w:space="0" w:color="auto"/>
            <w:right w:val="none" w:sz="0" w:space="0" w:color="auto"/>
          </w:divBdr>
        </w:div>
        <w:div w:id="1160578107">
          <w:marLeft w:val="0"/>
          <w:marRight w:val="0"/>
          <w:marTop w:val="0"/>
          <w:marBottom w:val="0"/>
          <w:divBdr>
            <w:top w:val="none" w:sz="0" w:space="0" w:color="auto"/>
            <w:left w:val="none" w:sz="0" w:space="0" w:color="auto"/>
            <w:bottom w:val="none" w:sz="0" w:space="0" w:color="auto"/>
            <w:right w:val="none" w:sz="0" w:space="0" w:color="auto"/>
          </w:divBdr>
        </w:div>
        <w:div w:id="1366056881">
          <w:marLeft w:val="0"/>
          <w:marRight w:val="0"/>
          <w:marTop w:val="0"/>
          <w:marBottom w:val="0"/>
          <w:divBdr>
            <w:top w:val="none" w:sz="0" w:space="0" w:color="auto"/>
            <w:left w:val="none" w:sz="0" w:space="0" w:color="auto"/>
            <w:bottom w:val="none" w:sz="0" w:space="0" w:color="auto"/>
            <w:right w:val="none" w:sz="0" w:space="0" w:color="auto"/>
          </w:divBdr>
        </w:div>
        <w:div w:id="1732073057">
          <w:marLeft w:val="0"/>
          <w:marRight w:val="0"/>
          <w:marTop w:val="0"/>
          <w:marBottom w:val="0"/>
          <w:divBdr>
            <w:top w:val="none" w:sz="0" w:space="0" w:color="auto"/>
            <w:left w:val="none" w:sz="0" w:space="0" w:color="auto"/>
            <w:bottom w:val="none" w:sz="0" w:space="0" w:color="auto"/>
            <w:right w:val="none" w:sz="0" w:space="0" w:color="auto"/>
          </w:divBdr>
        </w:div>
        <w:div w:id="1799374838">
          <w:marLeft w:val="0"/>
          <w:marRight w:val="0"/>
          <w:marTop w:val="0"/>
          <w:marBottom w:val="0"/>
          <w:divBdr>
            <w:top w:val="none" w:sz="0" w:space="0" w:color="auto"/>
            <w:left w:val="none" w:sz="0" w:space="0" w:color="auto"/>
            <w:bottom w:val="none" w:sz="0" w:space="0" w:color="auto"/>
            <w:right w:val="none" w:sz="0" w:space="0" w:color="auto"/>
          </w:divBdr>
        </w:div>
        <w:div w:id="1973823734">
          <w:marLeft w:val="0"/>
          <w:marRight w:val="0"/>
          <w:marTop w:val="0"/>
          <w:marBottom w:val="0"/>
          <w:divBdr>
            <w:top w:val="none" w:sz="0" w:space="0" w:color="auto"/>
            <w:left w:val="none" w:sz="0" w:space="0" w:color="auto"/>
            <w:bottom w:val="none" w:sz="0" w:space="0" w:color="auto"/>
            <w:right w:val="none" w:sz="0" w:space="0" w:color="auto"/>
          </w:divBdr>
        </w:div>
      </w:divsChild>
    </w:div>
    <w:div w:id="820077431">
      <w:bodyDiv w:val="1"/>
      <w:marLeft w:val="0"/>
      <w:marRight w:val="0"/>
      <w:marTop w:val="0"/>
      <w:marBottom w:val="0"/>
      <w:divBdr>
        <w:top w:val="none" w:sz="0" w:space="0" w:color="auto"/>
        <w:left w:val="none" w:sz="0" w:space="0" w:color="auto"/>
        <w:bottom w:val="none" w:sz="0" w:space="0" w:color="auto"/>
        <w:right w:val="none" w:sz="0" w:space="0" w:color="auto"/>
      </w:divBdr>
      <w:divsChild>
        <w:div w:id="339159285">
          <w:marLeft w:val="0"/>
          <w:marRight w:val="0"/>
          <w:marTop w:val="0"/>
          <w:marBottom w:val="0"/>
          <w:divBdr>
            <w:top w:val="none" w:sz="0" w:space="0" w:color="auto"/>
            <w:left w:val="none" w:sz="0" w:space="0" w:color="auto"/>
            <w:bottom w:val="none" w:sz="0" w:space="0" w:color="auto"/>
            <w:right w:val="none" w:sz="0" w:space="0" w:color="auto"/>
          </w:divBdr>
        </w:div>
        <w:div w:id="493566048">
          <w:marLeft w:val="0"/>
          <w:marRight w:val="0"/>
          <w:marTop w:val="0"/>
          <w:marBottom w:val="0"/>
          <w:divBdr>
            <w:top w:val="none" w:sz="0" w:space="0" w:color="auto"/>
            <w:left w:val="none" w:sz="0" w:space="0" w:color="auto"/>
            <w:bottom w:val="none" w:sz="0" w:space="0" w:color="auto"/>
            <w:right w:val="none" w:sz="0" w:space="0" w:color="auto"/>
          </w:divBdr>
        </w:div>
        <w:div w:id="1516068555">
          <w:marLeft w:val="0"/>
          <w:marRight w:val="0"/>
          <w:marTop w:val="0"/>
          <w:marBottom w:val="0"/>
          <w:divBdr>
            <w:top w:val="none" w:sz="0" w:space="0" w:color="auto"/>
            <w:left w:val="none" w:sz="0" w:space="0" w:color="auto"/>
            <w:bottom w:val="none" w:sz="0" w:space="0" w:color="auto"/>
            <w:right w:val="none" w:sz="0" w:space="0" w:color="auto"/>
          </w:divBdr>
        </w:div>
        <w:div w:id="1571185291">
          <w:marLeft w:val="0"/>
          <w:marRight w:val="0"/>
          <w:marTop w:val="0"/>
          <w:marBottom w:val="0"/>
          <w:divBdr>
            <w:top w:val="none" w:sz="0" w:space="0" w:color="auto"/>
            <w:left w:val="none" w:sz="0" w:space="0" w:color="auto"/>
            <w:bottom w:val="none" w:sz="0" w:space="0" w:color="auto"/>
            <w:right w:val="none" w:sz="0" w:space="0" w:color="auto"/>
          </w:divBdr>
        </w:div>
        <w:div w:id="1640693919">
          <w:marLeft w:val="0"/>
          <w:marRight w:val="0"/>
          <w:marTop w:val="0"/>
          <w:marBottom w:val="0"/>
          <w:divBdr>
            <w:top w:val="none" w:sz="0" w:space="0" w:color="auto"/>
            <w:left w:val="none" w:sz="0" w:space="0" w:color="auto"/>
            <w:bottom w:val="none" w:sz="0" w:space="0" w:color="auto"/>
            <w:right w:val="none" w:sz="0" w:space="0" w:color="auto"/>
          </w:divBdr>
        </w:div>
      </w:divsChild>
    </w:div>
    <w:div w:id="826897697">
      <w:bodyDiv w:val="1"/>
      <w:marLeft w:val="0"/>
      <w:marRight w:val="0"/>
      <w:marTop w:val="0"/>
      <w:marBottom w:val="0"/>
      <w:divBdr>
        <w:top w:val="none" w:sz="0" w:space="0" w:color="auto"/>
        <w:left w:val="none" w:sz="0" w:space="0" w:color="auto"/>
        <w:bottom w:val="none" w:sz="0" w:space="0" w:color="auto"/>
        <w:right w:val="none" w:sz="0" w:space="0" w:color="auto"/>
      </w:divBdr>
      <w:divsChild>
        <w:div w:id="550075866">
          <w:marLeft w:val="0"/>
          <w:marRight w:val="0"/>
          <w:marTop w:val="0"/>
          <w:marBottom w:val="0"/>
          <w:divBdr>
            <w:top w:val="none" w:sz="0" w:space="0" w:color="auto"/>
            <w:left w:val="none" w:sz="0" w:space="0" w:color="auto"/>
            <w:bottom w:val="none" w:sz="0" w:space="0" w:color="auto"/>
            <w:right w:val="none" w:sz="0" w:space="0" w:color="auto"/>
          </w:divBdr>
        </w:div>
        <w:div w:id="551119087">
          <w:marLeft w:val="0"/>
          <w:marRight w:val="0"/>
          <w:marTop w:val="0"/>
          <w:marBottom w:val="0"/>
          <w:divBdr>
            <w:top w:val="none" w:sz="0" w:space="0" w:color="auto"/>
            <w:left w:val="none" w:sz="0" w:space="0" w:color="auto"/>
            <w:bottom w:val="none" w:sz="0" w:space="0" w:color="auto"/>
            <w:right w:val="none" w:sz="0" w:space="0" w:color="auto"/>
          </w:divBdr>
        </w:div>
        <w:div w:id="832836313">
          <w:marLeft w:val="0"/>
          <w:marRight w:val="0"/>
          <w:marTop w:val="0"/>
          <w:marBottom w:val="0"/>
          <w:divBdr>
            <w:top w:val="none" w:sz="0" w:space="0" w:color="auto"/>
            <w:left w:val="none" w:sz="0" w:space="0" w:color="auto"/>
            <w:bottom w:val="none" w:sz="0" w:space="0" w:color="auto"/>
            <w:right w:val="none" w:sz="0" w:space="0" w:color="auto"/>
          </w:divBdr>
        </w:div>
        <w:div w:id="838275605">
          <w:marLeft w:val="0"/>
          <w:marRight w:val="0"/>
          <w:marTop w:val="0"/>
          <w:marBottom w:val="0"/>
          <w:divBdr>
            <w:top w:val="none" w:sz="0" w:space="0" w:color="auto"/>
            <w:left w:val="none" w:sz="0" w:space="0" w:color="auto"/>
            <w:bottom w:val="none" w:sz="0" w:space="0" w:color="auto"/>
            <w:right w:val="none" w:sz="0" w:space="0" w:color="auto"/>
          </w:divBdr>
        </w:div>
        <w:div w:id="885029435">
          <w:marLeft w:val="0"/>
          <w:marRight w:val="0"/>
          <w:marTop w:val="0"/>
          <w:marBottom w:val="0"/>
          <w:divBdr>
            <w:top w:val="none" w:sz="0" w:space="0" w:color="auto"/>
            <w:left w:val="none" w:sz="0" w:space="0" w:color="auto"/>
            <w:bottom w:val="none" w:sz="0" w:space="0" w:color="auto"/>
            <w:right w:val="none" w:sz="0" w:space="0" w:color="auto"/>
          </w:divBdr>
        </w:div>
        <w:div w:id="1040782934">
          <w:marLeft w:val="0"/>
          <w:marRight w:val="0"/>
          <w:marTop w:val="0"/>
          <w:marBottom w:val="0"/>
          <w:divBdr>
            <w:top w:val="none" w:sz="0" w:space="0" w:color="auto"/>
            <w:left w:val="none" w:sz="0" w:space="0" w:color="auto"/>
            <w:bottom w:val="none" w:sz="0" w:space="0" w:color="auto"/>
            <w:right w:val="none" w:sz="0" w:space="0" w:color="auto"/>
          </w:divBdr>
        </w:div>
        <w:div w:id="1287008291">
          <w:marLeft w:val="0"/>
          <w:marRight w:val="0"/>
          <w:marTop w:val="0"/>
          <w:marBottom w:val="0"/>
          <w:divBdr>
            <w:top w:val="none" w:sz="0" w:space="0" w:color="auto"/>
            <w:left w:val="none" w:sz="0" w:space="0" w:color="auto"/>
            <w:bottom w:val="none" w:sz="0" w:space="0" w:color="auto"/>
            <w:right w:val="none" w:sz="0" w:space="0" w:color="auto"/>
          </w:divBdr>
        </w:div>
        <w:div w:id="1551572932">
          <w:marLeft w:val="0"/>
          <w:marRight w:val="0"/>
          <w:marTop w:val="0"/>
          <w:marBottom w:val="0"/>
          <w:divBdr>
            <w:top w:val="none" w:sz="0" w:space="0" w:color="auto"/>
            <w:left w:val="none" w:sz="0" w:space="0" w:color="auto"/>
            <w:bottom w:val="none" w:sz="0" w:space="0" w:color="auto"/>
            <w:right w:val="none" w:sz="0" w:space="0" w:color="auto"/>
          </w:divBdr>
        </w:div>
        <w:div w:id="1641571515">
          <w:marLeft w:val="0"/>
          <w:marRight w:val="0"/>
          <w:marTop w:val="0"/>
          <w:marBottom w:val="0"/>
          <w:divBdr>
            <w:top w:val="none" w:sz="0" w:space="0" w:color="auto"/>
            <w:left w:val="none" w:sz="0" w:space="0" w:color="auto"/>
            <w:bottom w:val="none" w:sz="0" w:space="0" w:color="auto"/>
            <w:right w:val="none" w:sz="0" w:space="0" w:color="auto"/>
          </w:divBdr>
        </w:div>
        <w:div w:id="1926724718">
          <w:marLeft w:val="0"/>
          <w:marRight w:val="0"/>
          <w:marTop w:val="0"/>
          <w:marBottom w:val="0"/>
          <w:divBdr>
            <w:top w:val="none" w:sz="0" w:space="0" w:color="auto"/>
            <w:left w:val="none" w:sz="0" w:space="0" w:color="auto"/>
            <w:bottom w:val="none" w:sz="0" w:space="0" w:color="auto"/>
            <w:right w:val="none" w:sz="0" w:space="0" w:color="auto"/>
          </w:divBdr>
        </w:div>
        <w:div w:id="2096703215">
          <w:marLeft w:val="0"/>
          <w:marRight w:val="0"/>
          <w:marTop w:val="0"/>
          <w:marBottom w:val="0"/>
          <w:divBdr>
            <w:top w:val="none" w:sz="0" w:space="0" w:color="auto"/>
            <w:left w:val="none" w:sz="0" w:space="0" w:color="auto"/>
            <w:bottom w:val="none" w:sz="0" w:space="0" w:color="auto"/>
            <w:right w:val="none" w:sz="0" w:space="0" w:color="auto"/>
          </w:divBdr>
        </w:div>
      </w:divsChild>
    </w:div>
    <w:div w:id="831216551">
      <w:bodyDiv w:val="1"/>
      <w:marLeft w:val="0"/>
      <w:marRight w:val="0"/>
      <w:marTop w:val="0"/>
      <w:marBottom w:val="0"/>
      <w:divBdr>
        <w:top w:val="none" w:sz="0" w:space="0" w:color="auto"/>
        <w:left w:val="none" w:sz="0" w:space="0" w:color="auto"/>
        <w:bottom w:val="none" w:sz="0" w:space="0" w:color="auto"/>
        <w:right w:val="none" w:sz="0" w:space="0" w:color="auto"/>
      </w:divBdr>
      <w:divsChild>
        <w:div w:id="604311668">
          <w:marLeft w:val="0"/>
          <w:marRight w:val="0"/>
          <w:marTop w:val="0"/>
          <w:marBottom w:val="0"/>
          <w:divBdr>
            <w:top w:val="none" w:sz="0" w:space="0" w:color="auto"/>
            <w:left w:val="none" w:sz="0" w:space="0" w:color="auto"/>
            <w:bottom w:val="none" w:sz="0" w:space="0" w:color="auto"/>
            <w:right w:val="none" w:sz="0" w:space="0" w:color="auto"/>
          </w:divBdr>
        </w:div>
        <w:div w:id="1107383222">
          <w:marLeft w:val="0"/>
          <w:marRight w:val="0"/>
          <w:marTop w:val="0"/>
          <w:marBottom w:val="0"/>
          <w:divBdr>
            <w:top w:val="none" w:sz="0" w:space="0" w:color="auto"/>
            <w:left w:val="none" w:sz="0" w:space="0" w:color="auto"/>
            <w:bottom w:val="none" w:sz="0" w:space="0" w:color="auto"/>
            <w:right w:val="none" w:sz="0" w:space="0" w:color="auto"/>
          </w:divBdr>
        </w:div>
        <w:div w:id="471867901">
          <w:marLeft w:val="0"/>
          <w:marRight w:val="0"/>
          <w:marTop w:val="0"/>
          <w:marBottom w:val="0"/>
          <w:divBdr>
            <w:top w:val="none" w:sz="0" w:space="0" w:color="auto"/>
            <w:left w:val="none" w:sz="0" w:space="0" w:color="auto"/>
            <w:bottom w:val="none" w:sz="0" w:space="0" w:color="auto"/>
            <w:right w:val="none" w:sz="0" w:space="0" w:color="auto"/>
          </w:divBdr>
        </w:div>
        <w:div w:id="1738817733">
          <w:marLeft w:val="0"/>
          <w:marRight w:val="0"/>
          <w:marTop w:val="0"/>
          <w:marBottom w:val="0"/>
          <w:divBdr>
            <w:top w:val="none" w:sz="0" w:space="0" w:color="auto"/>
            <w:left w:val="none" w:sz="0" w:space="0" w:color="auto"/>
            <w:bottom w:val="none" w:sz="0" w:space="0" w:color="auto"/>
            <w:right w:val="none" w:sz="0" w:space="0" w:color="auto"/>
          </w:divBdr>
        </w:div>
        <w:div w:id="1529757458">
          <w:marLeft w:val="0"/>
          <w:marRight w:val="0"/>
          <w:marTop w:val="0"/>
          <w:marBottom w:val="0"/>
          <w:divBdr>
            <w:top w:val="none" w:sz="0" w:space="0" w:color="auto"/>
            <w:left w:val="none" w:sz="0" w:space="0" w:color="auto"/>
            <w:bottom w:val="none" w:sz="0" w:space="0" w:color="auto"/>
            <w:right w:val="none" w:sz="0" w:space="0" w:color="auto"/>
          </w:divBdr>
        </w:div>
      </w:divsChild>
    </w:div>
    <w:div w:id="839004726">
      <w:bodyDiv w:val="1"/>
      <w:marLeft w:val="0"/>
      <w:marRight w:val="0"/>
      <w:marTop w:val="0"/>
      <w:marBottom w:val="0"/>
      <w:divBdr>
        <w:top w:val="none" w:sz="0" w:space="0" w:color="auto"/>
        <w:left w:val="none" w:sz="0" w:space="0" w:color="auto"/>
        <w:bottom w:val="none" w:sz="0" w:space="0" w:color="auto"/>
        <w:right w:val="none" w:sz="0" w:space="0" w:color="auto"/>
      </w:divBdr>
      <w:divsChild>
        <w:div w:id="548343958">
          <w:marLeft w:val="0"/>
          <w:marRight w:val="0"/>
          <w:marTop w:val="0"/>
          <w:marBottom w:val="0"/>
          <w:divBdr>
            <w:top w:val="none" w:sz="0" w:space="0" w:color="auto"/>
            <w:left w:val="none" w:sz="0" w:space="0" w:color="auto"/>
            <w:bottom w:val="none" w:sz="0" w:space="0" w:color="auto"/>
            <w:right w:val="none" w:sz="0" w:space="0" w:color="auto"/>
          </w:divBdr>
        </w:div>
        <w:div w:id="773668146">
          <w:marLeft w:val="0"/>
          <w:marRight w:val="0"/>
          <w:marTop w:val="0"/>
          <w:marBottom w:val="0"/>
          <w:divBdr>
            <w:top w:val="none" w:sz="0" w:space="0" w:color="auto"/>
            <w:left w:val="none" w:sz="0" w:space="0" w:color="auto"/>
            <w:bottom w:val="none" w:sz="0" w:space="0" w:color="auto"/>
            <w:right w:val="none" w:sz="0" w:space="0" w:color="auto"/>
          </w:divBdr>
        </w:div>
        <w:div w:id="854228985">
          <w:marLeft w:val="0"/>
          <w:marRight w:val="0"/>
          <w:marTop w:val="0"/>
          <w:marBottom w:val="0"/>
          <w:divBdr>
            <w:top w:val="none" w:sz="0" w:space="0" w:color="auto"/>
            <w:left w:val="none" w:sz="0" w:space="0" w:color="auto"/>
            <w:bottom w:val="none" w:sz="0" w:space="0" w:color="auto"/>
            <w:right w:val="none" w:sz="0" w:space="0" w:color="auto"/>
          </w:divBdr>
        </w:div>
        <w:div w:id="909533496">
          <w:marLeft w:val="0"/>
          <w:marRight w:val="0"/>
          <w:marTop w:val="0"/>
          <w:marBottom w:val="0"/>
          <w:divBdr>
            <w:top w:val="none" w:sz="0" w:space="0" w:color="auto"/>
            <w:left w:val="none" w:sz="0" w:space="0" w:color="auto"/>
            <w:bottom w:val="none" w:sz="0" w:space="0" w:color="auto"/>
            <w:right w:val="none" w:sz="0" w:space="0" w:color="auto"/>
          </w:divBdr>
        </w:div>
        <w:div w:id="964770310">
          <w:marLeft w:val="0"/>
          <w:marRight w:val="0"/>
          <w:marTop w:val="0"/>
          <w:marBottom w:val="0"/>
          <w:divBdr>
            <w:top w:val="none" w:sz="0" w:space="0" w:color="auto"/>
            <w:left w:val="none" w:sz="0" w:space="0" w:color="auto"/>
            <w:bottom w:val="none" w:sz="0" w:space="0" w:color="auto"/>
            <w:right w:val="none" w:sz="0" w:space="0" w:color="auto"/>
          </w:divBdr>
        </w:div>
        <w:div w:id="1286892880">
          <w:marLeft w:val="0"/>
          <w:marRight w:val="0"/>
          <w:marTop w:val="0"/>
          <w:marBottom w:val="0"/>
          <w:divBdr>
            <w:top w:val="none" w:sz="0" w:space="0" w:color="auto"/>
            <w:left w:val="none" w:sz="0" w:space="0" w:color="auto"/>
            <w:bottom w:val="none" w:sz="0" w:space="0" w:color="auto"/>
            <w:right w:val="none" w:sz="0" w:space="0" w:color="auto"/>
          </w:divBdr>
        </w:div>
        <w:div w:id="1479613516">
          <w:marLeft w:val="0"/>
          <w:marRight w:val="0"/>
          <w:marTop w:val="0"/>
          <w:marBottom w:val="0"/>
          <w:divBdr>
            <w:top w:val="none" w:sz="0" w:space="0" w:color="auto"/>
            <w:left w:val="none" w:sz="0" w:space="0" w:color="auto"/>
            <w:bottom w:val="none" w:sz="0" w:space="0" w:color="auto"/>
            <w:right w:val="none" w:sz="0" w:space="0" w:color="auto"/>
          </w:divBdr>
        </w:div>
      </w:divsChild>
    </w:div>
    <w:div w:id="839396065">
      <w:bodyDiv w:val="1"/>
      <w:marLeft w:val="0"/>
      <w:marRight w:val="0"/>
      <w:marTop w:val="0"/>
      <w:marBottom w:val="0"/>
      <w:divBdr>
        <w:top w:val="none" w:sz="0" w:space="0" w:color="auto"/>
        <w:left w:val="none" w:sz="0" w:space="0" w:color="auto"/>
        <w:bottom w:val="none" w:sz="0" w:space="0" w:color="auto"/>
        <w:right w:val="none" w:sz="0" w:space="0" w:color="auto"/>
      </w:divBdr>
      <w:divsChild>
        <w:div w:id="71658877">
          <w:marLeft w:val="0"/>
          <w:marRight w:val="0"/>
          <w:marTop w:val="0"/>
          <w:marBottom w:val="0"/>
          <w:divBdr>
            <w:top w:val="none" w:sz="0" w:space="0" w:color="auto"/>
            <w:left w:val="none" w:sz="0" w:space="0" w:color="auto"/>
            <w:bottom w:val="none" w:sz="0" w:space="0" w:color="auto"/>
            <w:right w:val="none" w:sz="0" w:space="0" w:color="auto"/>
          </w:divBdr>
        </w:div>
        <w:div w:id="223566315">
          <w:marLeft w:val="0"/>
          <w:marRight w:val="0"/>
          <w:marTop w:val="0"/>
          <w:marBottom w:val="0"/>
          <w:divBdr>
            <w:top w:val="none" w:sz="0" w:space="0" w:color="auto"/>
            <w:left w:val="none" w:sz="0" w:space="0" w:color="auto"/>
            <w:bottom w:val="none" w:sz="0" w:space="0" w:color="auto"/>
            <w:right w:val="none" w:sz="0" w:space="0" w:color="auto"/>
          </w:divBdr>
        </w:div>
        <w:div w:id="324431398">
          <w:marLeft w:val="0"/>
          <w:marRight w:val="0"/>
          <w:marTop w:val="0"/>
          <w:marBottom w:val="0"/>
          <w:divBdr>
            <w:top w:val="none" w:sz="0" w:space="0" w:color="auto"/>
            <w:left w:val="none" w:sz="0" w:space="0" w:color="auto"/>
            <w:bottom w:val="none" w:sz="0" w:space="0" w:color="auto"/>
            <w:right w:val="none" w:sz="0" w:space="0" w:color="auto"/>
          </w:divBdr>
        </w:div>
        <w:div w:id="1470241801">
          <w:marLeft w:val="0"/>
          <w:marRight w:val="0"/>
          <w:marTop w:val="0"/>
          <w:marBottom w:val="0"/>
          <w:divBdr>
            <w:top w:val="none" w:sz="0" w:space="0" w:color="auto"/>
            <w:left w:val="none" w:sz="0" w:space="0" w:color="auto"/>
            <w:bottom w:val="none" w:sz="0" w:space="0" w:color="auto"/>
            <w:right w:val="none" w:sz="0" w:space="0" w:color="auto"/>
          </w:divBdr>
        </w:div>
        <w:div w:id="2137260529">
          <w:marLeft w:val="0"/>
          <w:marRight w:val="0"/>
          <w:marTop w:val="0"/>
          <w:marBottom w:val="0"/>
          <w:divBdr>
            <w:top w:val="none" w:sz="0" w:space="0" w:color="auto"/>
            <w:left w:val="none" w:sz="0" w:space="0" w:color="auto"/>
            <w:bottom w:val="none" w:sz="0" w:space="0" w:color="auto"/>
            <w:right w:val="none" w:sz="0" w:space="0" w:color="auto"/>
          </w:divBdr>
        </w:div>
      </w:divsChild>
    </w:div>
    <w:div w:id="842162986">
      <w:bodyDiv w:val="1"/>
      <w:marLeft w:val="0"/>
      <w:marRight w:val="0"/>
      <w:marTop w:val="0"/>
      <w:marBottom w:val="0"/>
      <w:divBdr>
        <w:top w:val="none" w:sz="0" w:space="0" w:color="auto"/>
        <w:left w:val="none" w:sz="0" w:space="0" w:color="auto"/>
        <w:bottom w:val="none" w:sz="0" w:space="0" w:color="auto"/>
        <w:right w:val="none" w:sz="0" w:space="0" w:color="auto"/>
      </w:divBdr>
      <w:divsChild>
        <w:div w:id="1309165768">
          <w:marLeft w:val="0"/>
          <w:marRight w:val="0"/>
          <w:marTop w:val="0"/>
          <w:marBottom w:val="0"/>
          <w:divBdr>
            <w:top w:val="none" w:sz="0" w:space="0" w:color="auto"/>
            <w:left w:val="none" w:sz="0" w:space="0" w:color="auto"/>
            <w:bottom w:val="none" w:sz="0" w:space="0" w:color="auto"/>
            <w:right w:val="none" w:sz="0" w:space="0" w:color="auto"/>
          </w:divBdr>
        </w:div>
      </w:divsChild>
    </w:div>
    <w:div w:id="863858186">
      <w:bodyDiv w:val="1"/>
      <w:marLeft w:val="0"/>
      <w:marRight w:val="0"/>
      <w:marTop w:val="0"/>
      <w:marBottom w:val="0"/>
      <w:divBdr>
        <w:top w:val="none" w:sz="0" w:space="0" w:color="auto"/>
        <w:left w:val="none" w:sz="0" w:space="0" w:color="auto"/>
        <w:bottom w:val="none" w:sz="0" w:space="0" w:color="auto"/>
        <w:right w:val="none" w:sz="0" w:space="0" w:color="auto"/>
      </w:divBdr>
      <w:divsChild>
        <w:div w:id="283586154">
          <w:marLeft w:val="0"/>
          <w:marRight w:val="0"/>
          <w:marTop w:val="0"/>
          <w:marBottom w:val="0"/>
          <w:divBdr>
            <w:top w:val="none" w:sz="0" w:space="0" w:color="auto"/>
            <w:left w:val="none" w:sz="0" w:space="0" w:color="auto"/>
            <w:bottom w:val="none" w:sz="0" w:space="0" w:color="auto"/>
            <w:right w:val="none" w:sz="0" w:space="0" w:color="auto"/>
          </w:divBdr>
        </w:div>
        <w:div w:id="657996456">
          <w:marLeft w:val="0"/>
          <w:marRight w:val="0"/>
          <w:marTop w:val="0"/>
          <w:marBottom w:val="0"/>
          <w:divBdr>
            <w:top w:val="none" w:sz="0" w:space="0" w:color="auto"/>
            <w:left w:val="none" w:sz="0" w:space="0" w:color="auto"/>
            <w:bottom w:val="none" w:sz="0" w:space="0" w:color="auto"/>
            <w:right w:val="none" w:sz="0" w:space="0" w:color="auto"/>
          </w:divBdr>
        </w:div>
        <w:div w:id="822625051">
          <w:marLeft w:val="0"/>
          <w:marRight w:val="0"/>
          <w:marTop w:val="0"/>
          <w:marBottom w:val="0"/>
          <w:divBdr>
            <w:top w:val="none" w:sz="0" w:space="0" w:color="auto"/>
            <w:left w:val="none" w:sz="0" w:space="0" w:color="auto"/>
            <w:bottom w:val="none" w:sz="0" w:space="0" w:color="auto"/>
            <w:right w:val="none" w:sz="0" w:space="0" w:color="auto"/>
          </w:divBdr>
        </w:div>
        <w:div w:id="953943168">
          <w:marLeft w:val="0"/>
          <w:marRight w:val="0"/>
          <w:marTop w:val="0"/>
          <w:marBottom w:val="0"/>
          <w:divBdr>
            <w:top w:val="none" w:sz="0" w:space="0" w:color="auto"/>
            <w:left w:val="none" w:sz="0" w:space="0" w:color="auto"/>
            <w:bottom w:val="none" w:sz="0" w:space="0" w:color="auto"/>
            <w:right w:val="none" w:sz="0" w:space="0" w:color="auto"/>
          </w:divBdr>
        </w:div>
        <w:div w:id="1074745487">
          <w:marLeft w:val="0"/>
          <w:marRight w:val="0"/>
          <w:marTop w:val="0"/>
          <w:marBottom w:val="0"/>
          <w:divBdr>
            <w:top w:val="none" w:sz="0" w:space="0" w:color="auto"/>
            <w:left w:val="none" w:sz="0" w:space="0" w:color="auto"/>
            <w:bottom w:val="none" w:sz="0" w:space="0" w:color="auto"/>
            <w:right w:val="none" w:sz="0" w:space="0" w:color="auto"/>
          </w:divBdr>
        </w:div>
        <w:div w:id="1757969812">
          <w:marLeft w:val="0"/>
          <w:marRight w:val="0"/>
          <w:marTop w:val="0"/>
          <w:marBottom w:val="0"/>
          <w:divBdr>
            <w:top w:val="none" w:sz="0" w:space="0" w:color="auto"/>
            <w:left w:val="none" w:sz="0" w:space="0" w:color="auto"/>
            <w:bottom w:val="none" w:sz="0" w:space="0" w:color="auto"/>
            <w:right w:val="none" w:sz="0" w:space="0" w:color="auto"/>
          </w:divBdr>
        </w:div>
        <w:div w:id="1770352249">
          <w:marLeft w:val="0"/>
          <w:marRight w:val="0"/>
          <w:marTop w:val="0"/>
          <w:marBottom w:val="0"/>
          <w:divBdr>
            <w:top w:val="none" w:sz="0" w:space="0" w:color="auto"/>
            <w:left w:val="none" w:sz="0" w:space="0" w:color="auto"/>
            <w:bottom w:val="none" w:sz="0" w:space="0" w:color="auto"/>
            <w:right w:val="none" w:sz="0" w:space="0" w:color="auto"/>
          </w:divBdr>
        </w:div>
      </w:divsChild>
    </w:div>
    <w:div w:id="866791256">
      <w:bodyDiv w:val="1"/>
      <w:marLeft w:val="0"/>
      <w:marRight w:val="0"/>
      <w:marTop w:val="0"/>
      <w:marBottom w:val="0"/>
      <w:divBdr>
        <w:top w:val="none" w:sz="0" w:space="0" w:color="auto"/>
        <w:left w:val="none" w:sz="0" w:space="0" w:color="auto"/>
        <w:bottom w:val="none" w:sz="0" w:space="0" w:color="auto"/>
        <w:right w:val="none" w:sz="0" w:space="0" w:color="auto"/>
      </w:divBdr>
      <w:divsChild>
        <w:div w:id="250117780">
          <w:marLeft w:val="0"/>
          <w:marRight w:val="0"/>
          <w:marTop w:val="0"/>
          <w:marBottom w:val="0"/>
          <w:divBdr>
            <w:top w:val="none" w:sz="0" w:space="0" w:color="auto"/>
            <w:left w:val="none" w:sz="0" w:space="0" w:color="auto"/>
            <w:bottom w:val="none" w:sz="0" w:space="0" w:color="auto"/>
            <w:right w:val="none" w:sz="0" w:space="0" w:color="auto"/>
          </w:divBdr>
        </w:div>
        <w:div w:id="400104814">
          <w:marLeft w:val="0"/>
          <w:marRight w:val="0"/>
          <w:marTop w:val="0"/>
          <w:marBottom w:val="0"/>
          <w:divBdr>
            <w:top w:val="none" w:sz="0" w:space="0" w:color="auto"/>
            <w:left w:val="none" w:sz="0" w:space="0" w:color="auto"/>
            <w:bottom w:val="none" w:sz="0" w:space="0" w:color="auto"/>
            <w:right w:val="none" w:sz="0" w:space="0" w:color="auto"/>
          </w:divBdr>
        </w:div>
        <w:div w:id="413286391">
          <w:marLeft w:val="0"/>
          <w:marRight w:val="0"/>
          <w:marTop w:val="0"/>
          <w:marBottom w:val="0"/>
          <w:divBdr>
            <w:top w:val="none" w:sz="0" w:space="0" w:color="auto"/>
            <w:left w:val="none" w:sz="0" w:space="0" w:color="auto"/>
            <w:bottom w:val="none" w:sz="0" w:space="0" w:color="auto"/>
            <w:right w:val="none" w:sz="0" w:space="0" w:color="auto"/>
          </w:divBdr>
        </w:div>
        <w:div w:id="770200133">
          <w:marLeft w:val="0"/>
          <w:marRight w:val="0"/>
          <w:marTop w:val="0"/>
          <w:marBottom w:val="0"/>
          <w:divBdr>
            <w:top w:val="none" w:sz="0" w:space="0" w:color="auto"/>
            <w:left w:val="none" w:sz="0" w:space="0" w:color="auto"/>
            <w:bottom w:val="none" w:sz="0" w:space="0" w:color="auto"/>
            <w:right w:val="none" w:sz="0" w:space="0" w:color="auto"/>
          </w:divBdr>
        </w:div>
        <w:div w:id="1898517709">
          <w:marLeft w:val="0"/>
          <w:marRight w:val="0"/>
          <w:marTop w:val="0"/>
          <w:marBottom w:val="0"/>
          <w:divBdr>
            <w:top w:val="none" w:sz="0" w:space="0" w:color="auto"/>
            <w:left w:val="none" w:sz="0" w:space="0" w:color="auto"/>
            <w:bottom w:val="none" w:sz="0" w:space="0" w:color="auto"/>
            <w:right w:val="none" w:sz="0" w:space="0" w:color="auto"/>
          </w:divBdr>
        </w:div>
        <w:div w:id="1971743948">
          <w:marLeft w:val="0"/>
          <w:marRight w:val="0"/>
          <w:marTop w:val="0"/>
          <w:marBottom w:val="0"/>
          <w:divBdr>
            <w:top w:val="none" w:sz="0" w:space="0" w:color="auto"/>
            <w:left w:val="none" w:sz="0" w:space="0" w:color="auto"/>
            <w:bottom w:val="none" w:sz="0" w:space="0" w:color="auto"/>
            <w:right w:val="none" w:sz="0" w:space="0" w:color="auto"/>
          </w:divBdr>
        </w:div>
        <w:div w:id="2086413883">
          <w:marLeft w:val="0"/>
          <w:marRight w:val="0"/>
          <w:marTop w:val="0"/>
          <w:marBottom w:val="0"/>
          <w:divBdr>
            <w:top w:val="none" w:sz="0" w:space="0" w:color="auto"/>
            <w:left w:val="none" w:sz="0" w:space="0" w:color="auto"/>
            <w:bottom w:val="none" w:sz="0" w:space="0" w:color="auto"/>
            <w:right w:val="none" w:sz="0" w:space="0" w:color="auto"/>
          </w:divBdr>
        </w:div>
      </w:divsChild>
    </w:div>
    <w:div w:id="870918348">
      <w:bodyDiv w:val="1"/>
      <w:marLeft w:val="0"/>
      <w:marRight w:val="0"/>
      <w:marTop w:val="0"/>
      <w:marBottom w:val="0"/>
      <w:divBdr>
        <w:top w:val="none" w:sz="0" w:space="0" w:color="auto"/>
        <w:left w:val="none" w:sz="0" w:space="0" w:color="auto"/>
        <w:bottom w:val="none" w:sz="0" w:space="0" w:color="auto"/>
        <w:right w:val="none" w:sz="0" w:space="0" w:color="auto"/>
      </w:divBdr>
      <w:divsChild>
        <w:div w:id="1339962304">
          <w:marLeft w:val="0"/>
          <w:marRight w:val="0"/>
          <w:marTop w:val="0"/>
          <w:marBottom w:val="0"/>
          <w:divBdr>
            <w:top w:val="none" w:sz="0" w:space="0" w:color="auto"/>
            <w:left w:val="none" w:sz="0" w:space="0" w:color="auto"/>
            <w:bottom w:val="none" w:sz="0" w:space="0" w:color="auto"/>
            <w:right w:val="none" w:sz="0" w:space="0" w:color="auto"/>
          </w:divBdr>
        </w:div>
        <w:div w:id="1429276125">
          <w:marLeft w:val="0"/>
          <w:marRight w:val="0"/>
          <w:marTop w:val="0"/>
          <w:marBottom w:val="0"/>
          <w:divBdr>
            <w:top w:val="none" w:sz="0" w:space="0" w:color="auto"/>
            <w:left w:val="none" w:sz="0" w:space="0" w:color="auto"/>
            <w:bottom w:val="none" w:sz="0" w:space="0" w:color="auto"/>
            <w:right w:val="none" w:sz="0" w:space="0" w:color="auto"/>
          </w:divBdr>
        </w:div>
        <w:div w:id="1605460300">
          <w:marLeft w:val="0"/>
          <w:marRight w:val="0"/>
          <w:marTop w:val="0"/>
          <w:marBottom w:val="0"/>
          <w:divBdr>
            <w:top w:val="none" w:sz="0" w:space="0" w:color="auto"/>
            <w:left w:val="none" w:sz="0" w:space="0" w:color="auto"/>
            <w:bottom w:val="none" w:sz="0" w:space="0" w:color="auto"/>
            <w:right w:val="none" w:sz="0" w:space="0" w:color="auto"/>
          </w:divBdr>
        </w:div>
        <w:div w:id="1682659643">
          <w:marLeft w:val="0"/>
          <w:marRight w:val="0"/>
          <w:marTop w:val="0"/>
          <w:marBottom w:val="0"/>
          <w:divBdr>
            <w:top w:val="none" w:sz="0" w:space="0" w:color="auto"/>
            <w:left w:val="none" w:sz="0" w:space="0" w:color="auto"/>
            <w:bottom w:val="none" w:sz="0" w:space="0" w:color="auto"/>
            <w:right w:val="none" w:sz="0" w:space="0" w:color="auto"/>
          </w:divBdr>
        </w:div>
        <w:div w:id="1760639006">
          <w:marLeft w:val="0"/>
          <w:marRight w:val="0"/>
          <w:marTop w:val="0"/>
          <w:marBottom w:val="0"/>
          <w:divBdr>
            <w:top w:val="none" w:sz="0" w:space="0" w:color="auto"/>
            <w:left w:val="none" w:sz="0" w:space="0" w:color="auto"/>
            <w:bottom w:val="none" w:sz="0" w:space="0" w:color="auto"/>
            <w:right w:val="none" w:sz="0" w:space="0" w:color="auto"/>
          </w:divBdr>
        </w:div>
      </w:divsChild>
    </w:div>
    <w:div w:id="876088511">
      <w:bodyDiv w:val="1"/>
      <w:marLeft w:val="0"/>
      <w:marRight w:val="0"/>
      <w:marTop w:val="0"/>
      <w:marBottom w:val="0"/>
      <w:divBdr>
        <w:top w:val="none" w:sz="0" w:space="0" w:color="auto"/>
        <w:left w:val="none" w:sz="0" w:space="0" w:color="auto"/>
        <w:bottom w:val="none" w:sz="0" w:space="0" w:color="auto"/>
        <w:right w:val="none" w:sz="0" w:space="0" w:color="auto"/>
      </w:divBdr>
      <w:divsChild>
        <w:div w:id="238560262">
          <w:marLeft w:val="0"/>
          <w:marRight w:val="0"/>
          <w:marTop w:val="0"/>
          <w:marBottom w:val="0"/>
          <w:divBdr>
            <w:top w:val="none" w:sz="0" w:space="0" w:color="auto"/>
            <w:left w:val="none" w:sz="0" w:space="0" w:color="auto"/>
            <w:bottom w:val="none" w:sz="0" w:space="0" w:color="auto"/>
            <w:right w:val="none" w:sz="0" w:space="0" w:color="auto"/>
          </w:divBdr>
        </w:div>
        <w:div w:id="528445859">
          <w:marLeft w:val="0"/>
          <w:marRight w:val="0"/>
          <w:marTop w:val="0"/>
          <w:marBottom w:val="0"/>
          <w:divBdr>
            <w:top w:val="none" w:sz="0" w:space="0" w:color="auto"/>
            <w:left w:val="none" w:sz="0" w:space="0" w:color="auto"/>
            <w:bottom w:val="none" w:sz="0" w:space="0" w:color="auto"/>
            <w:right w:val="none" w:sz="0" w:space="0" w:color="auto"/>
          </w:divBdr>
        </w:div>
        <w:div w:id="544174461">
          <w:marLeft w:val="0"/>
          <w:marRight w:val="0"/>
          <w:marTop w:val="0"/>
          <w:marBottom w:val="0"/>
          <w:divBdr>
            <w:top w:val="none" w:sz="0" w:space="0" w:color="auto"/>
            <w:left w:val="none" w:sz="0" w:space="0" w:color="auto"/>
            <w:bottom w:val="none" w:sz="0" w:space="0" w:color="auto"/>
            <w:right w:val="none" w:sz="0" w:space="0" w:color="auto"/>
          </w:divBdr>
        </w:div>
        <w:div w:id="552234037">
          <w:marLeft w:val="0"/>
          <w:marRight w:val="0"/>
          <w:marTop w:val="0"/>
          <w:marBottom w:val="0"/>
          <w:divBdr>
            <w:top w:val="none" w:sz="0" w:space="0" w:color="auto"/>
            <w:left w:val="none" w:sz="0" w:space="0" w:color="auto"/>
            <w:bottom w:val="none" w:sz="0" w:space="0" w:color="auto"/>
            <w:right w:val="none" w:sz="0" w:space="0" w:color="auto"/>
          </w:divBdr>
        </w:div>
        <w:div w:id="693045029">
          <w:marLeft w:val="0"/>
          <w:marRight w:val="0"/>
          <w:marTop w:val="0"/>
          <w:marBottom w:val="0"/>
          <w:divBdr>
            <w:top w:val="none" w:sz="0" w:space="0" w:color="auto"/>
            <w:left w:val="none" w:sz="0" w:space="0" w:color="auto"/>
            <w:bottom w:val="none" w:sz="0" w:space="0" w:color="auto"/>
            <w:right w:val="none" w:sz="0" w:space="0" w:color="auto"/>
          </w:divBdr>
        </w:div>
        <w:div w:id="1168712335">
          <w:marLeft w:val="0"/>
          <w:marRight w:val="0"/>
          <w:marTop w:val="0"/>
          <w:marBottom w:val="0"/>
          <w:divBdr>
            <w:top w:val="none" w:sz="0" w:space="0" w:color="auto"/>
            <w:left w:val="none" w:sz="0" w:space="0" w:color="auto"/>
            <w:bottom w:val="none" w:sz="0" w:space="0" w:color="auto"/>
            <w:right w:val="none" w:sz="0" w:space="0" w:color="auto"/>
          </w:divBdr>
        </w:div>
        <w:div w:id="1266234641">
          <w:marLeft w:val="0"/>
          <w:marRight w:val="0"/>
          <w:marTop w:val="0"/>
          <w:marBottom w:val="0"/>
          <w:divBdr>
            <w:top w:val="none" w:sz="0" w:space="0" w:color="auto"/>
            <w:left w:val="none" w:sz="0" w:space="0" w:color="auto"/>
            <w:bottom w:val="none" w:sz="0" w:space="0" w:color="auto"/>
            <w:right w:val="none" w:sz="0" w:space="0" w:color="auto"/>
          </w:divBdr>
        </w:div>
        <w:div w:id="1467040267">
          <w:marLeft w:val="0"/>
          <w:marRight w:val="0"/>
          <w:marTop w:val="0"/>
          <w:marBottom w:val="0"/>
          <w:divBdr>
            <w:top w:val="none" w:sz="0" w:space="0" w:color="auto"/>
            <w:left w:val="none" w:sz="0" w:space="0" w:color="auto"/>
            <w:bottom w:val="none" w:sz="0" w:space="0" w:color="auto"/>
            <w:right w:val="none" w:sz="0" w:space="0" w:color="auto"/>
          </w:divBdr>
        </w:div>
        <w:div w:id="1520584989">
          <w:marLeft w:val="0"/>
          <w:marRight w:val="0"/>
          <w:marTop w:val="0"/>
          <w:marBottom w:val="0"/>
          <w:divBdr>
            <w:top w:val="none" w:sz="0" w:space="0" w:color="auto"/>
            <w:left w:val="none" w:sz="0" w:space="0" w:color="auto"/>
            <w:bottom w:val="none" w:sz="0" w:space="0" w:color="auto"/>
            <w:right w:val="none" w:sz="0" w:space="0" w:color="auto"/>
          </w:divBdr>
        </w:div>
        <w:div w:id="1520772201">
          <w:marLeft w:val="0"/>
          <w:marRight w:val="0"/>
          <w:marTop w:val="0"/>
          <w:marBottom w:val="0"/>
          <w:divBdr>
            <w:top w:val="none" w:sz="0" w:space="0" w:color="auto"/>
            <w:left w:val="none" w:sz="0" w:space="0" w:color="auto"/>
            <w:bottom w:val="none" w:sz="0" w:space="0" w:color="auto"/>
            <w:right w:val="none" w:sz="0" w:space="0" w:color="auto"/>
          </w:divBdr>
        </w:div>
        <w:div w:id="1832405315">
          <w:marLeft w:val="0"/>
          <w:marRight w:val="0"/>
          <w:marTop w:val="0"/>
          <w:marBottom w:val="0"/>
          <w:divBdr>
            <w:top w:val="none" w:sz="0" w:space="0" w:color="auto"/>
            <w:left w:val="none" w:sz="0" w:space="0" w:color="auto"/>
            <w:bottom w:val="none" w:sz="0" w:space="0" w:color="auto"/>
            <w:right w:val="none" w:sz="0" w:space="0" w:color="auto"/>
          </w:divBdr>
        </w:div>
      </w:divsChild>
    </w:div>
    <w:div w:id="916939294">
      <w:bodyDiv w:val="1"/>
      <w:marLeft w:val="0"/>
      <w:marRight w:val="0"/>
      <w:marTop w:val="0"/>
      <w:marBottom w:val="0"/>
      <w:divBdr>
        <w:top w:val="none" w:sz="0" w:space="0" w:color="auto"/>
        <w:left w:val="none" w:sz="0" w:space="0" w:color="auto"/>
        <w:bottom w:val="none" w:sz="0" w:space="0" w:color="auto"/>
        <w:right w:val="none" w:sz="0" w:space="0" w:color="auto"/>
      </w:divBdr>
      <w:divsChild>
        <w:div w:id="761294121">
          <w:marLeft w:val="0"/>
          <w:marRight w:val="0"/>
          <w:marTop w:val="0"/>
          <w:marBottom w:val="0"/>
          <w:divBdr>
            <w:top w:val="none" w:sz="0" w:space="0" w:color="auto"/>
            <w:left w:val="none" w:sz="0" w:space="0" w:color="auto"/>
            <w:bottom w:val="none" w:sz="0" w:space="0" w:color="auto"/>
            <w:right w:val="none" w:sz="0" w:space="0" w:color="auto"/>
          </w:divBdr>
        </w:div>
        <w:div w:id="879131309">
          <w:marLeft w:val="0"/>
          <w:marRight w:val="0"/>
          <w:marTop w:val="0"/>
          <w:marBottom w:val="0"/>
          <w:divBdr>
            <w:top w:val="none" w:sz="0" w:space="0" w:color="auto"/>
            <w:left w:val="none" w:sz="0" w:space="0" w:color="auto"/>
            <w:bottom w:val="none" w:sz="0" w:space="0" w:color="auto"/>
            <w:right w:val="none" w:sz="0" w:space="0" w:color="auto"/>
          </w:divBdr>
        </w:div>
        <w:div w:id="1483811132">
          <w:marLeft w:val="0"/>
          <w:marRight w:val="0"/>
          <w:marTop w:val="0"/>
          <w:marBottom w:val="0"/>
          <w:divBdr>
            <w:top w:val="none" w:sz="0" w:space="0" w:color="auto"/>
            <w:left w:val="none" w:sz="0" w:space="0" w:color="auto"/>
            <w:bottom w:val="none" w:sz="0" w:space="0" w:color="auto"/>
            <w:right w:val="none" w:sz="0" w:space="0" w:color="auto"/>
          </w:divBdr>
        </w:div>
        <w:div w:id="1516191126">
          <w:marLeft w:val="0"/>
          <w:marRight w:val="0"/>
          <w:marTop w:val="0"/>
          <w:marBottom w:val="0"/>
          <w:divBdr>
            <w:top w:val="none" w:sz="0" w:space="0" w:color="auto"/>
            <w:left w:val="none" w:sz="0" w:space="0" w:color="auto"/>
            <w:bottom w:val="none" w:sz="0" w:space="0" w:color="auto"/>
            <w:right w:val="none" w:sz="0" w:space="0" w:color="auto"/>
          </w:divBdr>
        </w:div>
        <w:div w:id="2034528906">
          <w:marLeft w:val="0"/>
          <w:marRight w:val="0"/>
          <w:marTop w:val="0"/>
          <w:marBottom w:val="0"/>
          <w:divBdr>
            <w:top w:val="none" w:sz="0" w:space="0" w:color="auto"/>
            <w:left w:val="none" w:sz="0" w:space="0" w:color="auto"/>
            <w:bottom w:val="none" w:sz="0" w:space="0" w:color="auto"/>
            <w:right w:val="none" w:sz="0" w:space="0" w:color="auto"/>
          </w:divBdr>
        </w:div>
      </w:divsChild>
    </w:div>
    <w:div w:id="922298550">
      <w:bodyDiv w:val="1"/>
      <w:marLeft w:val="0"/>
      <w:marRight w:val="0"/>
      <w:marTop w:val="0"/>
      <w:marBottom w:val="0"/>
      <w:divBdr>
        <w:top w:val="none" w:sz="0" w:space="0" w:color="auto"/>
        <w:left w:val="none" w:sz="0" w:space="0" w:color="auto"/>
        <w:bottom w:val="none" w:sz="0" w:space="0" w:color="auto"/>
        <w:right w:val="none" w:sz="0" w:space="0" w:color="auto"/>
      </w:divBdr>
      <w:divsChild>
        <w:div w:id="379675020">
          <w:marLeft w:val="0"/>
          <w:marRight w:val="0"/>
          <w:marTop w:val="0"/>
          <w:marBottom w:val="0"/>
          <w:divBdr>
            <w:top w:val="none" w:sz="0" w:space="0" w:color="auto"/>
            <w:left w:val="none" w:sz="0" w:space="0" w:color="auto"/>
            <w:bottom w:val="none" w:sz="0" w:space="0" w:color="auto"/>
            <w:right w:val="none" w:sz="0" w:space="0" w:color="auto"/>
          </w:divBdr>
        </w:div>
        <w:div w:id="510098117">
          <w:marLeft w:val="0"/>
          <w:marRight w:val="0"/>
          <w:marTop w:val="0"/>
          <w:marBottom w:val="0"/>
          <w:divBdr>
            <w:top w:val="none" w:sz="0" w:space="0" w:color="auto"/>
            <w:left w:val="none" w:sz="0" w:space="0" w:color="auto"/>
            <w:bottom w:val="none" w:sz="0" w:space="0" w:color="auto"/>
            <w:right w:val="none" w:sz="0" w:space="0" w:color="auto"/>
          </w:divBdr>
        </w:div>
        <w:div w:id="883324448">
          <w:marLeft w:val="0"/>
          <w:marRight w:val="0"/>
          <w:marTop w:val="0"/>
          <w:marBottom w:val="0"/>
          <w:divBdr>
            <w:top w:val="none" w:sz="0" w:space="0" w:color="auto"/>
            <w:left w:val="none" w:sz="0" w:space="0" w:color="auto"/>
            <w:bottom w:val="none" w:sz="0" w:space="0" w:color="auto"/>
            <w:right w:val="none" w:sz="0" w:space="0" w:color="auto"/>
          </w:divBdr>
        </w:div>
        <w:div w:id="1383017820">
          <w:marLeft w:val="0"/>
          <w:marRight w:val="0"/>
          <w:marTop w:val="0"/>
          <w:marBottom w:val="0"/>
          <w:divBdr>
            <w:top w:val="none" w:sz="0" w:space="0" w:color="auto"/>
            <w:left w:val="none" w:sz="0" w:space="0" w:color="auto"/>
            <w:bottom w:val="none" w:sz="0" w:space="0" w:color="auto"/>
            <w:right w:val="none" w:sz="0" w:space="0" w:color="auto"/>
          </w:divBdr>
        </w:div>
        <w:div w:id="1413115593">
          <w:marLeft w:val="0"/>
          <w:marRight w:val="0"/>
          <w:marTop w:val="0"/>
          <w:marBottom w:val="0"/>
          <w:divBdr>
            <w:top w:val="none" w:sz="0" w:space="0" w:color="auto"/>
            <w:left w:val="none" w:sz="0" w:space="0" w:color="auto"/>
            <w:bottom w:val="none" w:sz="0" w:space="0" w:color="auto"/>
            <w:right w:val="none" w:sz="0" w:space="0" w:color="auto"/>
          </w:divBdr>
          <w:divsChild>
            <w:div w:id="1078986875">
              <w:marLeft w:val="0"/>
              <w:marRight w:val="0"/>
              <w:marTop w:val="0"/>
              <w:marBottom w:val="0"/>
              <w:divBdr>
                <w:top w:val="none" w:sz="0" w:space="0" w:color="auto"/>
                <w:left w:val="none" w:sz="0" w:space="0" w:color="auto"/>
                <w:bottom w:val="none" w:sz="0" w:space="0" w:color="auto"/>
                <w:right w:val="none" w:sz="0" w:space="0" w:color="auto"/>
              </w:divBdr>
            </w:div>
            <w:div w:id="1086347773">
              <w:marLeft w:val="0"/>
              <w:marRight w:val="0"/>
              <w:marTop w:val="0"/>
              <w:marBottom w:val="0"/>
              <w:divBdr>
                <w:top w:val="none" w:sz="0" w:space="0" w:color="auto"/>
                <w:left w:val="none" w:sz="0" w:space="0" w:color="auto"/>
                <w:bottom w:val="none" w:sz="0" w:space="0" w:color="auto"/>
                <w:right w:val="none" w:sz="0" w:space="0" w:color="auto"/>
              </w:divBdr>
            </w:div>
            <w:div w:id="1095899466">
              <w:marLeft w:val="0"/>
              <w:marRight w:val="0"/>
              <w:marTop w:val="0"/>
              <w:marBottom w:val="0"/>
              <w:divBdr>
                <w:top w:val="none" w:sz="0" w:space="0" w:color="auto"/>
                <w:left w:val="none" w:sz="0" w:space="0" w:color="auto"/>
                <w:bottom w:val="none" w:sz="0" w:space="0" w:color="auto"/>
                <w:right w:val="none" w:sz="0" w:space="0" w:color="auto"/>
              </w:divBdr>
            </w:div>
            <w:div w:id="1344282856">
              <w:marLeft w:val="0"/>
              <w:marRight w:val="0"/>
              <w:marTop w:val="0"/>
              <w:marBottom w:val="0"/>
              <w:divBdr>
                <w:top w:val="none" w:sz="0" w:space="0" w:color="auto"/>
                <w:left w:val="none" w:sz="0" w:space="0" w:color="auto"/>
                <w:bottom w:val="none" w:sz="0" w:space="0" w:color="auto"/>
                <w:right w:val="none" w:sz="0" w:space="0" w:color="auto"/>
              </w:divBdr>
            </w:div>
          </w:divsChild>
        </w:div>
        <w:div w:id="1426421259">
          <w:marLeft w:val="0"/>
          <w:marRight w:val="0"/>
          <w:marTop w:val="0"/>
          <w:marBottom w:val="0"/>
          <w:divBdr>
            <w:top w:val="none" w:sz="0" w:space="0" w:color="auto"/>
            <w:left w:val="none" w:sz="0" w:space="0" w:color="auto"/>
            <w:bottom w:val="none" w:sz="0" w:space="0" w:color="auto"/>
            <w:right w:val="none" w:sz="0" w:space="0" w:color="auto"/>
          </w:divBdr>
        </w:div>
        <w:div w:id="1536305176">
          <w:marLeft w:val="0"/>
          <w:marRight w:val="0"/>
          <w:marTop w:val="0"/>
          <w:marBottom w:val="0"/>
          <w:divBdr>
            <w:top w:val="none" w:sz="0" w:space="0" w:color="auto"/>
            <w:left w:val="none" w:sz="0" w:space="0" w:color="auto"/>
            <w:bottom w:val="none" w:sz="0" w:space="0" w:color="auto"/>
            <w:right w:val="none" w:sz="0" w:space="0" w:color="auto"/>
          </w:divBdr>
        </w:div>
      </w:divsChild>
    </w:div>
    <w:div w:id="927274441">
      <w:bodyDiv w:val="1"/>
      <w:marLeft w:val="0"/>
      <w:marRight w:val="0"/>
      <w:marTop w:val="0"/>
      <w:marBottom w:val="0"/>
      <w:divBdr>
        <w:top w:val="none" w:sz="0" w:space="0" w:color="auto"/>
        <w:left w:val="none" w:sz="0" w:space="0" w:color="auto"/>
        <w:bottom w:val="none" w:sz="0" w:space="0" w:color="auto"/>
        <w:right w:val="none" w:sz="0" w:space="0" w:color="auto"/>
      </w:divBdr>
      <w:divsChild>
        <w:div w:id="213011509">
          <w:marLeft w:val="0"/>
          <w:marRight w:val="0"/>
          <w:marTop w:val="0"/>
          <w:marBottom w:val="0"/>
          <w:divBdr>
            <w:top w:val="none" w:sz="0" w:space="0" w:color="auto"/>
            <w:left w:val="none" w:sz="0" w:space="0" w:color="auto"/>
            <w:bottom w:val="none" w:sz="0" w:space="0" w:color="auto"/>
            <w:right w:val="none" w:sz="0" w:space="0" w:color="auto"/>
          </w:divBdr>
        </w:div>
        <w:div w:id="409229709">
          <w:marLeft w:val="0"/>
          <w:marRight w:val="0"/>
          <w:marTop w:val="0"/>
          <w:marBottom w:val="0"/>
          <w:divBdr>
            <w:top w:val="none" w:sz="0" w:space="0" w:color="auto"/>
            <w:left w:val="none" w:sz="0" w:space="0" w:color="auto"/>
            <w:bottom w:val="none" w:sz="0" w:space="0" w:color="auto"/>
            <w:right w:val="none" w:sz="0" w:space="0" w:color="auto"/>
          </w:divBdr>
        </w:div>
        <w:div w:id="446659586">
          <w:marLeft w:val="0"/>
          <w:marRight w:val="0"/>
          <w:marTop w:val="0"/>
          <w:marBottom w:val="0"/>
          <w:divBdr>
            <w:top w:val="none" w:sz="0" w:space="0" w:color="auto"/>
            <w:left w:val="none" w:sz="0" w:space="0" w:color="auto"/>
            <w:bottom w:val="none" w:sz="0" w:space="0" w:color="auto"/>
            <w:right w:val="none" w:sz="0" w:space="0" w:color="auto"/>
          </w:divBdr>
        </w:div>
        <w:div w:id="556940726">
          <w:marLeft w:val="0"/>
          <w:marRight w:val="0"/>
          <w:marTop w:val="0"/>
          <w:marBottom w:val="0"/>
          <w:divBdr>
            <w:top w:val="none" w:sz="0" w:space="0" w:color="auto"/>
            <w:left w:val="none" w:sz="0" w:space="0" w:color="auto"/>
            <w:bottom w:val="none" w:sz="0" w:space="0" w:color="auto"/>
            <w:right w:val="none" w:sz="0" w:space="0" w:color="auto"/>
          </w:divBdr>
        </w:div>
        <w:div w:id="576979733">
          <w:marLeft w:val="0"/>
          <w:marRight w:val="0"/>
          <w:marTop w:val="0"/>
          <w:marBottom w:val="0"/>
          <w:divBdr>
            <w:top w:val="none" w:sz="0" w:space="0" w:color="auto"/>
            <w:left w:val="none" w:sz="0" w:space="0" w:color="auto"/>
            <w:bottom w:val="none" w:sz="0" w:space="0" w:color="auto"/>
            <w:right w:val="none" w:sz="0" w:space="0" w:color="auto"/>
          </w:divBdr>
        </w:div>
        <w:div w:id="1373378929">
          <w:marLeft w:val="0"/>
          <w:marRight w:val="0"/>
          <w:marTop w:val="0"/>
          <w:marBottom w:val="0"/>
          <w:divBdr>
            <w:top w:val="none" w:sz="0" w:space="0" w:color="auto"/>
            <w:left w:val="none" w:sz="0" w:space="0" w:color="auto"/>
            <w:bottom w:val="none" w:sz="0" w:space="0" w:color="auto"/>
            <w:right w:val="none" w:sz="0" w:space="0" w:color="auto"/>
          </w:divBdr>
        </w:div>
        <w:div w:id="1940482497">
          <w:marLeft w:val="0"/>
          <w:marRight w:val="0"/>
          <w:marTop w:val="0"/>
          <w:marBottom w:val="0"/>
          <w:divBdr>
            <w:top w:val="none" w:sz="0" w:space="0" w:color="auto"/>
            <w:left w:val="none" w:sz="0" w:space="0" w:color="auto"/>
            <w:bottom w:val="none" w:sz="0" w:space="0" w:color="auto"/>
            <w:right w:val="none" w:sz="0" w:space="0" w:color="auto"/>
          </w:divBdr>
        </w:div>
      </w:divsChild>
    </w:div>
    <w:div w:id="928662368">
      <w:bodyDiv w:val="1"/>
      <w:marLeft w:val="0"/>
      <w:marRight w:val="0"/>
      <w:marTop w:val="0"/>
      <w:marBottom w:val="0"/>
      <w:divBdr>
        <w:top w:val="none" w:sz="0" w:space="0" w:color="auto"/>
        <w:left w:val="none" w:sz="0" w:space="0" w:color="auto"/>
        <w:bottom w:val="none" w:sz="0" w:space="0" w:color="auto"/>
        <w:right w:val="none" w:sz="0" w:space="0" w:color="auto"/>
      </w:divBdr>
      <w:divsChild>
        <w:div w:id="244340543">
          <w:marLeft w:val="0"/>
          <w:marRight w:val="0"/>
          <w:marTop w:val="0"/>
          <w:marBottom w:val="0"/>
          <w:divBdr>
            <w:top w:val="none" w:sz="0" w:space="0" w:color="auto"/>
            <w:left w:val="none" w:sz="0" w:space="0" w:color="auto"/>
            <w:bottom w:val="none" w:sz="0" w:space="0" w:color="auto"/>
            <w:right w:val="none" w:sz="0" w:space="0" w:color="auto"/>
          </w:divBdr>
        </w:div>
        <w:div w:id="613907488">
          <w:marLeft w:val="0"/>
          <w:marRight w:val="0"/>
          <w:marTop w:val="0"/>
          <w:marBottom w:val="0"/>
          <w:divBdr>
            <w:top w:val="none" w:sz="0" w:space="0" w:color="auto"/>
            <w:left w:val="none" w:sz="0" w:space="0" w:color="auto"/>
            <w:bottom w:val="none" w:sz="0" w:space="0" w:color="auto"/>
            <w:right w:val="none" w:sz="0" w:space="0" w:color="auto"/>
          </w:divBdr>
        </w:div>
        <w:div w:id="1321151338">
          <w:marLeft w:val="0"/>
          <w:marRight w:val="0"/>
          <w:marTop w:val="0"/>
          <w:marBottom w:val="0"/>
          <w:divBdr>
            <w:top w:val="none" w:sz="0" w:space="0" w:color="auto"/>
            <w:left w:val="none" w:sz="0" w:space="0" w:color="auto"/>
            <w:bottom w:val="none" w:sz="0" w:space="0" w:color="auto"/>
            <w:right w:val="none" w:sz="0" w:space="0" w:color="auto"/>
          </w:divBdr>
        </w:div>
        <w:div w:id="1702629630">
          <w:marLeft w:val="0"/>
          <w:marRight w:val="0"/>
          <w:marTop w:val="0"/>
          <w:marBottom w:val="0"/>
          <w:divBdr>
            <w:top w:val="none" w:sz="0" w:space="0" w:color="auto"/>
            <w:left w:val="none" w:sz="0" w:space="0" w:color="auto"/>
            <w:bottom w:val="none" w:sz="0" w:space="0" w:color="auto"/>
            <w:right w:val="none" w:sz="0" w:space="0" w:color="auto"/>
          </w:divBdr>
        </w:div>
        <w:div w:id="2006393136">
          <w:marLeft w:val="0"/>
          <w:marRight w:val="0"/>
          <w:marTop w:val="0"/>
          <w:marBottom w:val="0"/>
          <w:divBdr>
            <w:top w:val="none" w:sz="0" w:space="0" w:color="auto"/>
            <w:left w:val="none" w:sz="0" w:space="0" w:color="auto"/>
            <w:bottom w:val="none" w:sz="0" w:space="0" w:color="auto"/>
            <w:right w:val="none" w:sz="0" w:space="0" w:color="auto"/>
          </w:divBdr>
        </w:div>
      </w:divsChild>
    </w:div>
    <w:div w:id="935091388">
      <w:bodyDiv w:val="1"/>
      <w:marLeft w:val="0"/>
      <w:marRight w:val="0"/>
      <w:marTop w:val="0"/>
      <w:marBottom w:val="0"/>
      <w:divBdr>
        <w:top w:val="none" w:sz="0" w:space="0" w:color="auto"/>
        <w:left w:val="none" w:sz="0" w:space="0" w:color="auto"/>
        <w:bottom w:val="none" w:sz="0" w:space="0" w:color="auto"/>
        <w:right w:val="none" w:sz="0" w:space="0" w:color="auto"/>
      </w:divBdr>
      <w:divsChild>
        <w:div w:id="21981407">
          <w:marLeft w:val="0"/>
          <w:marRight w:val="0"/>
          <w:marTop w:val="0"/>
          <w:marBottom w:val="0"/>
          <w:divBdr>
            <w:top w:val="none" w:sz="0" w:space="0" w:color="auto"/>
            <w:left w:val="none" w:sz="0" w:space="0" w:color="auto"/>
            <w:bottom w:val="none" w:sz="0" w:space="0" w:color="auto"/>
            <w:right w:val="none" w:sz="0" w:space="0" w:color="auto"/>
          </w:divBdr>
        </w:div>
        <w:div w:id="256182385">
          <w:marLeft w:val="0"/>
          <w:marRight w:val="0"/>
          <w:marTop w:val="0"/>
          <w:marBottom w:val="0"/>
          <w:divBdr>
            <w:top w:val="none" w:sz="0" w:space="0" w:color="auto"/>
            <w:left w:val="none" w:sz="0" w:space="0" w:color="auto"/>
            <w:bottom w:val="none" w:sz="0" w:space="0" w:color="auto"/>
            <w:right w:val="none" w:sz="0" w:space="0" w:color="auto"/>
          </w:divBdr>
        </w:div>
        <w:div w:id="434909008">
          <w:marLeft w:val="0"/>
          <w:marRight w:val="0"/>
          <w:marTop w:val="0"/>
          <w:marBottom w:val="0"/>
          <w:divBdr>
            <w:top w:val="none" w:sz="0" w:space="0" w:color="auto"/>
            <w:left w:val="none" w:sz="0" w:space="0" w:color="auto"/>
            <w:bottom w:val="none" w:sz="0" w:space="0" w:color="auto"/>
            <w:right w:val="none" w:sz="0" w:space="0" w:color="auto"/>
          </w:divBdr>
        </w:div>
        <w:div w:id="596450781">
          <w:marLeft w:val="0"/>
          <w:marRight w:val="0"/>
          <w:marTop w:val="0"/>
          <w:marBottom w:val="0"/>
          <w:divBdr>
            <w:top w:val="none" w:sz="0" w:space="0" w:color="auto"/>
            <w:left w:val="none" w:sz="0" w:space="0" w:color="auto"/>
            <w:bottom w:val="none" w:sz="0" w:space="0" w:color="auto"/>
            <w:right w:val="none" w:sz="0" w:space="0" w:color="auto"/>
          </w:divBdr>
        </w:div>
        <w:div w:id="877206567">
          <w:marLeft w:val="0"/>
          <w:marRight w:val="0"/>
          <w:marTop w:val="0"/>
          <w:marBottom w:val="0"/>
          <w:divBdr>
            <w:top w:val="none" w:sz="0" w:space="0" w:color="auto"/>
            <w:left w:val="none" w:sz="0" w:space="0" w:color="auto"/>
            <w:bottom w:val="none" w:sz="0" w:space="0" w:color="auto"/>
            <w:right w:val="none" w:sz="0" w:space="0" w:color="auto"/>
          </w:divBdr>
        </w:div>
        <w:div w:id="1074736831">
          <w:marLeft w:val="0"/>
          <w:marRight w:val="0"/>
          <w:marTop w:val="0"/>
          <w:marBottom w:val="0"/>
          <w:divBdr>
            <w:top w:val="none" w:sz="0" w:space="0" w:color="auto"/>
            <w:left w:val="none" w:sz="0" w:space="0" w:color="auto"/>
            <w:bottom w:val="none" w:sz="0" w:space="0" w:color="auto"/>
            <w:right w:val="none" w:sz="0" w:space="0" w:color="auto"/>
          </w:divBdr>
        </w:div>
        <w:div w:id="1761440321">
          <w:marLeft w:val="0"/>
          <w:marRight w:val="0"/>
          <w:marTop w:val="0"/>
          <w:marBottom w:val="0"/>
          <w:divBdr>
            <w:top w:val="none" w:sz="0" w:space="0" w:color="auto"/>
            <w:left w:val="none" w:sz="0" w:space="0" w:color="auto"/>
            <w:bottom w:val="none" w:sz="0" w:space="0" w:color="auto"/>
            <w:right w:val="none" w:sz="0" w:space="0" w:color="auto"/>
          </w:divBdr>
        </w:div>
        <w:div w:id="1811284990">
          <w:marLeft w:val="0"/>
          <w:marRight w:val="0"/>
          <w:marTop w:val="0"/>
          <w:marBottom w:val="0"/>
          <w:divBdr>
            <w:top w:val="none" w:sz="0" w:space="0" w:color="auto"/>
            <w:left w:val="none" w:sz="0" w:space="0" w:color="auto"/>
            <w:bottom w:val="none" w:sz="0" w:space="0" w:color="auto"/>
            <w:right w:val="none" w:sz="0" w:space="0" w:color="auto"/>
          </w:divBdr>
        </w:div>
        <w:div w:id="1848443998">
          <w:marLeft w:val="0"/>
          <w:marRight w:val="0"/>
          <w:marTop w:val="0"/>
          <w:marBottom w:val="0"/>
          <w:divBdr>
            <w:top w:val="none" w:sz="0" w:space="0" w:color="auto"/>
            <w:left w:val="none" w:sz="0" w:space="0" w:color="auto"/>
            <w:bottom w:val="none" w:sz="0" w:space="0" w:color="auto"/>
            <w:right w:val="none" w:sz="0" w:space="0" w:color="auto"/>
          </w:divBdr>
        </w:div>
      </w:divsChild>
    </w:div>
    <w:div w:id="941650267">
      <w:bodyDiv w:val="1"/>
      <w:marLeft w:val="0"/>
      <w:marRight w:val="0"/>
      <w:marTop w:val="0"/>
      <w:marBottom w:val="0"/>
      <w:divBdr>
        <w:top w:val="none" w:sz="0" w:space="0" w:color="auto"/>
        <w:left w:val="none" w:sz="0" w:space="0" w:color="auto"/>
        <w:bottom w:val="none" w:sz="0" w:space="0" w:color="auto"/>
        <w:right w:val="none" w:sz="0" w:space="0" w:color="auto"/>
      </w:divBdr>
      <w:divsChild>
        <w:div w:id="353070496">
          <w:marLeft w:val="0"/>
          <w:marRight w:val="0"/>
          <w:marTop w:val="0"/>
          <w:marBottom w:val="0"/>
          <w:divBdr>
            <w:top w:val="none" w:sz="0" w:space="0" w:color="auto"/>
            <w:left w:val="none" w:sz="0" w:space="0" w:color="auto"/>
            <w:bottom w:val="none" w:sz="0" w:space="0" w:color="auto"/>
            <w:right w:val="none" w:sz="0" w:space="0" w:color="auto"/>
          </w:divBdr>
        </w:div>
        <w:div w:id="481586392">
          <w:marLeft w:val="0"/>
          <w:marRight w:val="0"/>
          <w:marTop w:val="0"/>
          <w:marBottom w:val="0"/>
          <w:divBdr>
            <w:top w:val="none" w:sz="0" w:space="0" w:color="auto"/>
            <w:left w:val="none" w:sz="0" w:space="0" w:color="auto"/>
            <w:bottom w:val="none" w:sz="0" w:space="0" w:color="auto"/>
            <w:right w:val="none" w:sz="0" w:space="0" w:color="auto"/>
          </w:divBdr>
        </w:div>
        <w:div w:id="874581294">
          <w:marLeft w:val="0"/>
          <w:marRight w:val="0"/>
          <w:marTop w:val="0"/>
          <w:marBottom w:val="0"/>
          <w:divBdr>
            <w:top w:val="none" w:sz="0" w:space="0" w:color="auto"/>
            <w:left w:val="none" w:sz="0" w:space="0" w:color="auto"/>
            <w:bottom w:val="none" w:sz="0" w:space="0" w:color="auto"/>
            <w:right w:val="none" w:sz="0" w:space="0" w:color="auto"/>
          </w:divBdr>
        </w:div>
        <w:div w:id="941299244">
          <w:marLeft w:val="0"/>
          <w:marRight w:val="0"/>
          <w:marTop w:val="0"/>
          <w:marBottom w:val="0"/>
          <w:divBdr>
            <w:top w:val="none" w:sz="0" w:space="0" w:color="auto"/>
            <w:left w:val="none" w:sz="0" w:space="0" w:color="auto"/>
            <w:bottom w:val="none" w:sz="0" w:space="0" w:color="auto"/>
            <w:right w:val="none" w:sz="0" w:space="0" w:color="auto"/>
          </w:divBdr>
        </w:div>
        <w:div w:id="1188637211">
          <w:marLeft w:val="0"/>
          <w:marRight w:val="0"/>
          <w:marTop w:val="0"/>
          <w:marBottom w:val="0"/>
          <w:divBdr>
            <w:top w:val="none" w:sz="0" w:space="0" w:color="auto"/>
            <w:left w:val="none" w:sz="0" w:space="0" w:color="auto"/>
            <w:bottom w:val="none" w:sz="0" w:space="0" w:color="auto"/>
            <w:right w:val="none" w:sz="0" w:space="0" w:color="auto"/>
          </w:divBdr>
        </w:div>
        <w:div w:id="1209106076">
          <w:marLeft w:val="0"/>
          <w:marRight w:val="0"/>
          <w:marTop w:val="0"/>
          <w:marBottom w:val="0"/>
          <w:divBdr>
            <w:top w:val="none" w:sz="0" w:space="0" w:color="auto"/>
            <w:left w:val="none" w:sz="0" w:space="0" w:color="auto"/>
            <w:bottom w:val="none" w:sz="0" w:space="0" w:color="auto"/>
            <w:right w:val="none" w:sz="0" w:space="0" w:color="auto"/>
          </w:divBdr>
        </w:div>
        <w:div w:id="1232304631">
          <w:marLeft w:val="0"/>
          <w:marRight w:val="0"/>
          <w:marTop w:val="0"/>
          <w:marBottom w:val="0"/>
          <w:divBdr>
            <w:top w:val="none" w:sz="0" w:space="0" w:color="auto"/>
            <w:left w:val="none" w:sz="0" w:space="0" w:color="auto"/>
            <w:bottom w:val="none" w:sz="0" w:space="0" w:color="auto"/>
            <w:right w:val="none" w:sz="0" w:space="0" w:color="auto"/>
          </w:divBdr>
        </w:div>
        <w:div w:id="1316760821">
          <w:marLeft w:val="0"/>
          <w:marRight w:val="0"/>
          <w:marTop w:val="0"/>
          <w:marBottom w:val="0"/>
          <w:divBdr>
            <w:top w:val="none" w:sz="0" w:space="0" w:color="auto"/>
            <w:left w:val="none" w:sz="0" w:space="0" w:color="auto"/>
            <w:bottom w:val="none" w:sz="0" w:space="0" w:color="auto"/>
            <w:right w:val="none" w:sz="0" w:space="0" w:color="auto"/>
          </w:divBdr>
        </w:div>
        <w:div w:id="1392074002">
          <w:marLeft w:val="0"/>
          <w:marRight w:val="0"/>
          <w:marTop w:val="0"/>
          <w:marBottom w:val="0"/>
          <w:divBdr>
            <w:top w:val="none" w:sz="0" w:space="0" w:color="auto"/>
            <w:left w:val="none" w:sz="0" w:space="0" w:color="auto"/>
            <w:bottom w:val="none" w:sz="0" w:space="0" w:color="auto"/>
            <w:right w:val="none" w:sz="0" w:space="0" w:color="auto"/>
          </w:divBdr>
        </w:div>
        <w:div w:id="1679850877">
          <w:marLeft w:val="0"/>
          <w:marRight w:val="0"/>
          <w:marTop w:val="0"/>
          <w:marBottom w:val="0"/>
          <w:divBdr>
            <w:top w:val="none" w:sz="0" w:space="0" w:color="auto"/>
            <w:left w:val="none" w:sz="0" w:space="0" w:color="auto"/>
            <w:bottom w:val="none" w:sz="0" w:space="0" w:color="auto"/>
            <w:right w:val="none" w:sz="0" w:space="0" w:color="auto"/>
          </w:divBdr>
        </w:div>
      </w:divsChild>
    </w:div>
    <w:div w:id="955795374">
      <w:bodyDiv w:val="1"/>
      <w:marLeft w:val="0"/>
      <w:marRight w:val="0"/>
      <w:marTop w:val="0"/>
      <w:marBottom w:val="0"/>
      <w:divBdr>
        <w:top w:val="none" w:sz="0" w:space="0" w:color="auto"/>
        <w:left w:val="none" w:sz="0" w:space="0" w:color="auto"/>
        <w:bottom w:val="none" w:sz="0" w:space="0" w:color="auto"/>
        <w:right w:val="none" w:sz="0" w:space="0" w:color="auto"/>
      </w:divBdr>
      <w:divsChild>
        <w:div w:id="12196324">
          <w:marLeft w:val="0"/>
          <w:marRight w:val="0"/>
          <w:marTop w:val="0"/>
          <w:marBottom w:val="0"/>
          <w:divBdr>
            <w:top w:val="none" w:sz="0" w:space="0" w:color="auto"/>
            <w:left w:val="none" w:sz="0" w:space="0" w:color="auto"/>
            <w:bottom w:val="none" w:sz="0" w:space="0" w:color="auto"/>
            <w:right w:val="none" w:sz="0" w:space="0" w:color="auto"/>
          </w:divBdr>
        </w:div>
        <w:div w:id="184103939">
          <w:marLeft w:val="0"/>
          <w:marRight w:val="0"/>
          <w:marTop w:val="0"/>
          <w:marBottom w:val="0"/>
          <w:divBdr>
            <w:top w:val="none" w:sz="0" w:space="0" w:color="auto"/>
            <w:left w:val="none" w:sz="0" w:space="0" w:color="auto"/>
            <w:bottom w:val="none" w:sz="0" w:space="0" w:color="auto"/>
            <w:right w:val="none" w:sz="0" w:space="0" w:color="auto"/>
          </w:divBdr>
        </w:div>
        <w:div w:id="804275372">
          <w:marLeft w:val="0"/>
          <w:marRight w:val="0"/>
          <w:marTop w:val="0"/>
          <w:marBottom w:val="0"/>
          <w:divBdr>
            <w:top w:val="none" w:sz="0" w:space="0" w:color="auto"/>
            <w:left w:val="none" w:sz="0" w:space="0" w:color="auto"/>
            <w:bottom w:val="none" w:sz="0" w:space="0" w:color="auto"/>
            <w:right w:val="none" w:sz="0" w:space="0" w:color="auto"/>
          </w:divBdr>
        </w:div>
        <w:div w:id="1403068359">
          <w:marLeft w:val="0"/>
          <w:marRight w:val="0"/>
          <w:marTop w:val="0"/>
          <w:marBottom w:val="0"/>
          <w:divBdr>
            <w:top w:val="none" w:sz="0" w:space="0" w:color="auto"/>
            <w:left w:val="none" w:sz="0" w:space="0" w:color="auto"/>
            <w:bottom w:val="none" w:sz="0" w:space="0" w:color="auto"/>
            <w:right w:val="none" w:sz="0" w:space="0" w:color="auto"/>
          </w:divBdr>
        </w:div>
        <w:div w:id="1655522636">
          <w:marLeft w:val="0"/>
          <w:marRight w:val="0"/>
          <w:marTop w:val="0"/>
          <w:marBottom w:val="0"/>
          <w:divBdr>
            <w:top w:val="none" w:sz="0" w:space="0" w:color="auto"/>
            <w:left w:val="none" w:sz="0" w:space="0" w:color="auto"/>
            <w:bottom w:val="none" w:sz="0" w:space="0" w:color="auto"/>
            <w:right w:val="none" w:sz="0" w:space="0" w:color="auto"/>
          </w:divBdr>
        </w:div>
        <w:div w:id="1680962277">
          <w:marLeft w:val="0"/>
          <w:marRight w:val="0"/>
          <w:marTop w:val="0"/>
          <w:marBottom w:val="0"/>
          <w:divBdr>
            <w:top w:val="none" w:sz="0" w:space="0" w:color="auto"/>
            <w:left w:val="none" w:sz="0" w:space="0" w:color="auto"/>
            <w:bottom w:val="none" w:sz="0" w:space="0" w:color="auto"/>
            <w:right w:val="none" w:sz="0" w:space="0" w:color="auto"/>
          </w:divBdr>
        </w:div>
        <w:div w:id="2007398903">
          <w:marLeft w:val="0"/>
          <w:marRight w:val="0"/>
          <w:marTop w:val="0"/>
          <w:marBottom w:val="0"/>
          <w:divBdr>
            <w:top w:val="none" w:sz="0" w:space="0" w:color="auto"/>
            <w:left w:val="none" w:sz="0" w:space="0" w:color="auto"/>
            <w:bottom w:val="none" w:sz="0" w:space="0" w:color="auto"/>
            <w:right w:val="none" w:sz="0" w:space="0" w:color="auto"/>
          </w:divBdr>
        </w:div>
      </w:divsChild>
    </w:div>
    <w:div w:id="958998442">
      <w:bodyDiv w:val="1"/>
      <w:marLeft w:val="0"/>
      <w:marRight w:val="0"/>
      <w:marTop w:val="0"/>
      <w:marBottom w:val="0"/>
      <w:divBdr>
        <w:top w:val="none" w:sz="0" w:space="0" w:color="auto"/>
        <w:left w:val="none" w:sz="0" w:space="0" w:color="auto"/>
        <w:bottom w:val="none" w:sz="0" w:space="0" w:color="auto"/>
        <w:right w:val="none" w:sz="0" w:space="0" w:color="auto"/>
      </w:divBdr>
      <w:divsChild>
        <w:div w:id="80952623">
          <w:marLeft w:val="0"/>
          <w:marRight w:val="0"/>
          <w:marTop w:val="0"/>
          <w:marBottom w:val="0"/>
          <w:divBdr>
            <w:top w:val="none" w:sz="0" w:space="0" w:color="auto"/>
            <w:left w:val="none" w:sz="0" w:space="0" w:color="auto"/>
            <w:bottom w:val="none" w:sz="0" w:space="0" w:color="auto"/>
            <w:right w:val="none" w:sz="0" w:space="0" w:color="auto"/>
          </w:divBdr>
        </w:div>
        <w:div w:id="392048204">
          <w:marLeft w:val="0"/>
          <w:marRight w:val="0"/>
          <w:marTop w:val="0"/>
          <w:marBottom w:val="0"/>
          <w:divBdr>
            <w:top w:val="none" w:sz="0" w:space="0" w:color="auto"/>
            <w:left w:val="none" w:sz="0" w:space="0" w:color="auto"/>
            <w:bottom w:val="none" w:sz="0" w:space="0" w:color="auto"/>
            <w:right w:val="none" w:sz="0" w:space="0" w:color="auto"/>
          </w:divBdr>
        </w:div>
        <w:div w:id="806779333">
          <w:marLeft w:val="0"/>
          <w:marRight w:val="0"/>
          <w:marTop w:val="0"/>
          <w:marBottom w:val="0"/>
          <w:divBdr>
            <w:top w:val="none" w:sz="0" w:space="0" w:color="auto"/>
            <w:left w:val="none" w:sz="0" w:space="0" w:color="auto"/>
            <w:bottom w:val="none" w:sz="0" w:space="0" w:color="auto"/>
            <w:right w:val="none" w:sz="0" w:space="0" w:color="auto"/>
          </w:divBdr>
        </w:div>
        <w:div w:id="851798624">
          <w:marLeft w:val="0"/>
          <w:marRight w:val="0"/>
          <w:marTop w:val="0"/>
          <w:marBottom w:val="0"/>
          <w:divBdr>
            <w:top w:val="none" w:sz="0" w:space="0" w:color="auto"/>
            <w:left w:val="none" w:sz="0" w:space="0" w:color="auto"/>
            <w:bottom w:val="none" w:sz="0" w:space="0" w:color="auto"/>
            <w:right w:val="none" w:sz="0" w:space="0" w:color="auto"/>
          </w:divBdr>
        </w:div>
        <w:div w:id="1016032769">
          <w:marLeft w:val="0"/>
          <w:marRight w:val="0"/>
          <w:marTop w:val="0"/>
          <w:marBottom w:val="0"/>
          <w:divBdr>
            <w:top w:val="none" w:sz="0" w:space="0" w:color="auto"/>
            <w:left w:val="none" w:sz="0" w:space="0" w:color="auto"/>
            <w:bottom w:val="none" w:sz="0" w:space="0" w:color="auto"/>
            <w:right w:val="none" w:sz="0" w:space="0" w:color="auto"/>
          </w:divBdr>
        </w:div>
        <w:div w:id="1127503375">
          <w:marLeft w:val="0"/>
          <w:marRight w:val="0"/>
          <w:marTop w:val="0"/>
          <w:marBottom w:val="0"/>
          <w:divBdr>
            <w:top w:val="none" w:sz="0" w:space="0" w:color="auto"/>
            <w:left w:val="none" w:sz="0" w:space="0" w:color="auto"/>
            <w:bottom w:val="none" w:sz="0" w:space="0" w:color="auto"/>
            <w:right w:val="none" w:sz="0" w:space="0" w:color="auto"/>
          </w:divBdr>
        </w:div>
        <w:div w:id="1163474086">
          <w:marLeft w:val="0"/>
          <w:marRight w:val="0"/>
          <w:marTop w:val="0"/>
          <w:marBottom w:val="0"/>
          <w:divBdr>
            <w:top w:val="none" w:sz="0" w:space="0" w:color="auto"/>
            <w:left w:val="none" w:sz="0" w:space="0" w:color="auto"/>
            <w:bottom w:val="none" w:sz="0" w:space="0" w:color="auto"/>
            <w:right w:val="none" w:sz="0" w:space="0" w:color="auto"/>
          </w:divBdr>
        </w:div>
        <w:div w:id="1269848774">
          <w:marLeft w:val="0"/>
          <w:marRight w:val="0"/>
          <w:marTop w:val="0"/>
          <w:marBottom w:val="0"/>
          <w:divBdr>
            <w:top w:val="none" w:sz="0" w:space="0" w:color="auto"/>
            <w:left w:val="none" w:sz="0" w:space="0" w:color="auto"/>
            <w:bottom w:val="none" w:sz="0" w:space="0" w:color="auto"/>
            <w:right w:val="none" w:sz="0" w:space="0" w:color="auto"/>
          </w:divBdr>
        </w:div>
        <w:div w:id="1549367998">
          <w:marLeft w:val="0"/>
          <w:marRight w:val="0"/>
          <w:marTop w:val="0"/>
          <w:marBottom w:val="0"/>
          <w:divBdr>
            <w:top w:val="none" w:sz="0" w:space="0" w:color="auto"/>
            <w:left w:val="none" w:sz="0" w:space="0" w:color="auto"/>
            <w:bottom w:val="none" w:sz="0" w:space="0" w:color="auto"/>
            <w:right w:val="none" w:sz="0" w:space="0" w:color="auto"/>
          </w:divBdr>
        </w:div>
        <w:div w:id="2035231253">
          <w:marLeft w:val="0"/>
          <w:marRight w:val="0"/>
          <w:marTop w:val="0"/>
          <w:marBottom w:val="0"/>
          <w:divBdr>
            <w:top w:val="none" w:sz="0" w:space="0" w:color="auto"/>
            <w:left w:val="none" w:sz="0" w:space="0" w:color="auto"/>
            <w:bottom w:val="none" w:sz="0" w:space="0" w:color="auto"/>
            <w:right w:val="none" w:sz="0" w:space="0" w:color="auto"/>
          </w:divBdr>
        </w:div>
        <w:div w:id="2037584216">
          <w:marLeft w:val="0"/>
          <w:marRight w:val="0"/>
          <w:marTop w:val="0"/>
          <w:marBottom w:val="0"/>
          <w:divBdr>
            <w:top w:val="none" w:sz="0" w:space="0" w:color="auto"/>
            <w:left w:val="none" w:sz="0" w:space="0" w:color="auto"/>
            <w:bottom w:val="none" w:sz="0" w:space="0" w:color="auto"/>
            <w:right w:val="none" w:sz="0" w:space="0" w:color="auto"/>
          </w:divBdr>
        </w:div>
        <w:div w:id="2050572324">
          <w:marLeft w:val="0"/>
          <w:marRight w:val="0"/>
          <w:marTop w:val="0"/>
          <w:marBottom w:val="0"/>
          <w:divBdr>
            <w:top w:val="none" w:sz="0" w:space="0" w:color="auto"/>
            <w:left w:val="none" w:sz="0" w:space="0" w:color="auto"/>
            <w:bottom w:val="none" w:sz="0" w:space="0" w:color="auto"/>
            <w:right w:val="none" w:sz="0" w:space="0" w:color="auto"/>
          </w:divBdr>
        </w:div>
        <w:div w:id="2052460892">
          <w:marLeft w:val="0"/>
          <w:marRight w:val="0"/>
          <w:marTop w:val="0"/>
          <w:marBottom w:val="0"/>
          <w:divBdr>
            <w:top w:val="none" w:sz="0" w:space="0" w:color="auto"/>
            <w:left w:val="none" w:sz="0" w:space="0" w:color="auto"/>
            <w:bottom w:val="none" w:sz="0" w:space="0" w:color="auto"/>
            <w:right w:val="none" w:sz="0" w:space="0" w:color="auto"/>
          </w:divBdr>
        </w:div>
        <w:div w:id="2071734696">
          <w:marLeft w:val="0"/>
          <w:marRight w:val="0"/>
          <w:marTop w:val="0"/>
          <w:marBottom w:val="0"/>
          <w:divBdr>
            <w:top w:val="none" w:sz="0" w:space="0" w:color="auto"/>
            <w:left w:val="none" w:sz="0" w:space="0" w:color="auto"/>
            <w:bottom w:val="none" w:sz="0" w:space="0" w:color="auto"/>
            <w:right w:val="none" w:sz="0" w:space="0" w:color="auto"/>
          </w:divBdr>
        </w:div>
        <w:div w:id="2092191025">
          <w:marLeft w:val="0"/>
          <w:marRight w:val="0"/>
          <w:marTop w:val="0"/>
          <w:marBottom w:val="0"/>
          <w:divBdr>
            <w:top w:val="none" w:sz="0" w:space="0" w:color="auto"/>
            <w:left w:val="none" w:sz="0" w:space="0" w:color="auto"/>
            <w:bottom w:val="none" w:sz="0" w:space="0" w:color="auto"/>
            <w:right w:val="none" w:sz="0" w:space="0" w:color="auto"/>
          </w:divBdr>
        </w:div>
      </w:divsChild>
    </w:div>
    <w:div w:id="963385001">
      <w:bodyDiv w:val="1"/>
      <w:marLeft w:val="0"/>
      <w:marRight w:val="0"/>
      <w:marTop w:val="0"/>
      <w:marBottom w:val="0"/>
      <w:divBdr>
        <w:top w:val="none" w:sz="0" w:space="0" w:color="auto"/>
        <w:left w:val="none" w:sz="0" w:space="0" w:color="auto"/>
        <w:bottom w:val="none" w:sz="0" w:space="0" w:color="auto"/>
        <w:right w:val="none" w:sz="0" w:space="0" w:color="auto"/>
      </w:divBdr>
      <w:divsChild>
        <w:div w:id="644705432">
          <w:marLeft w:val="0"/>
          <w:marRight w:val="0"/>
          <w:marTop w:val="0"/>
          <w:marBottom w:val="0"/>
          <w:divBdr>
            <w:top w:val="none" w:sz="0" w:space="0" w:color="auto"/>
            <w:left w:val="none" w:sz="0" w:space="0" w:color="auto"/>
            <w:bottom w:val="none" w:sz="0" w:space="0" w:color="auto"/>
            <w:right w:val="none" w:sz="0" w:space="0" w:color="auto"/>
          </w:divBdr>
        </w:div>
        <w:div w:id="673382693">
          <w:marLeft w:val="0"/>
          <w:marRight w:val="0"/>
          <w:marTop w:val="0"/>
          <w:marBottom w:val="0"/>
          <w:divBdr>
            <w:top w:val="none" w:sz="0" w:space="0" w:color="auto"/>
            <w:left w:val="none" w:sz="0" w:space="0" w:color="auto"/>
            <w:bottom w:val="none" w:sz="0" w:space="0" w:color="auto"/>
            <w:right w:val="none" w:sz="0" w:space="0" w:color="auto"/>
          </w:divBdr>
        </w:div>
        <w:div w:id="681586880">
          <w:marLeft w:val="0"/>
          <w:marRight w:val="0"/>
          <w:marTop w:val="0"/>
          <w:marBottom w:val="0"/>
          <w:divBdr>
            <w:top w:val="none" w:sz="0" w:space="0" w:color="auto"/>
            <w:left w:val="none" w:sz="0" w:space="0" w:color="auto"/>
            <w:bottom w:val="none" w:sz="0" w:space="0" w:color="auto"/>
            <w:right w:val="none" w:sz="0" w:space="0" w:color="auto"/>
          </w:divBdr>
        </w:div>
        <w:div w:id="742336728">
          <w:marLeft w:val="0"/>
          <w:marRight w:val="0"/>
          <w:marTop w:val="0"/>
          <w:marBottom w:val="0"/>
          <w:divBdr>
            <w:top w:val="none" w:sz="0" w:space="0" w:color="auto"/>
            <w:left w:val="none" w:sz="0" w:space="0" w:color="auto"/>
            <w:bottom w:val="none" w:sz="0" w:space="0" w:color="auto"/>
            <w:right w:val="none" w:sz="0" w:space="0" w:color="auto"/>
          </w:divBdr>
        </w:div>
        <w:div w:id="1006205640">
          <w:marLeft w:val="0"/>
          <w:marRight w:val="0"/>
          <w:marTop w:val="0"/>
          <w:marBottom w:val="0"/>
          <w:divBdr>
            <w:top w:val="none" w:sz="0" w:space="0" w:color="auto"/>
            <w:left w:val="none" w:sz="0" w:space="0" w:color="auto"/>
            <w:bottom w:val="none" w:sz="0" w:space="0" w:color="auto"/>
            <w:right w:val="none" w:sz="0" w:space="0" w:color="auto"/>
          </w:divBdr>
        </w:div>
        <w:div w:id="1198011906">
          <w:marLeft w:val="0"/>
          <w:marRight w:val="0"/>
          <w:marTop w:val="0"/>
          <w:marBottom w:val="0"/>
          <w:divBdr>
            <w:top w:val="none" w:sz="0" w:space="0" w:color="auto"/>
            <w:left w:val="none" w:sz="0" w:space="0" w:color="auto"/>
            <w:bottom w:val="none" w:sz="0" w:space="0" w:color="auto"/>
            <w:right w:val="none" w:sz="0" w:space="0" w:color="auto"/>
          </w:divBdr>
        </w:div>
        <w:div w:id="1496721939">
          <w:marLeft w:val="0"/>
          <w:marRight w:val="0"/>
          <w:marTop w:val="0"/>
          <w:marBottom w:val="0"/>
          <w:divBdr>
            <w:top w:val="none" w:sz="0" w:space="0" w:color="auto"/>
            <w:left w:val="none" w:sz="0" w:space="0" w:color="auto"/>
            <w:bottom w:val="none" w:sz="0" w:space="0" w:color="auto"/>
            <w:right w:val="none" w:sz="0" w:space="0" w:color="auto"/>
          </w:divBdr>
        </w:div>
        <w:div w:id="1597203004">
          <w:marLeft w:val="0"/>
          <w:marRight w:val="0"/>
          <w:marTop w:val="0"/>
          <w:marBottom w:val="0"/>
          <w:divBdr>
            <w:top w:val="none" w:sz="0" w:space="0" w:color="auto"/>
            <w:left w:val="none" w:sz="0" w:space="0" w:color="auto"/>
            <w:bottom w:val="none" w:sz="0" w:space="0" w:color="auto"/>
            <w:right w:val="none" w:sz="0" w:space="0" w:color="auto"/>
          </w:divBdr>
        </w:div>
        <w:div w:id="1919826495">
          <w:marLeft w:val="0"/>
          <w:marRight w:val="0"/>
          <w:marTop w:val="0"/>
          <w:marBottom w:val="0"/>
          <w:divBdr>
            <w:top w:val="none" w:sz="0" w:space="0" w:color="auto"/>
            <w:left w:val="none" w:sz="0" w:space="0" w:color="auto"/>
            <w:bottom w:val="none" w:sz="0" w:space="0" w:color="auto"/>
            <w:right w:val="none" w:sz="0" w:space="0" w:color="auto"/>
          </w:divBdr>
        </w:div>
        <w:div w:id="1999650275">
          <w:marLeft w:val="0"/>
          <w:marRight w:val="0"/>
          <w:marTop w:val="0"/>
          <w:marBottom w:val="0"/>
          <w:divBdr>
            <w:top w:val="none" w:sz="0" w:space="0" w:color="auto"/>
            <w:left w:val="none" w:sz="0" w:space="0" w:color="auto"/>
            <w:bottom w:val="none" w:sz="0" w:space="0" w:color="auto"/>
            <w:right w:val="none" w:sz="0" w:space="0" w:color="auto"/>
          </w:divBdr>
        </w:div>
        <w:div w:id="2136361159">
          <w:marLeft w:val="0"/>
          <w:marRight w:val="0"/>
          <w:marTop w:val="0"/>
          <w:marBottom w:val="0"/>
          <w:divBdr>
            <w:top w:val="none" w:sz="0" w:space="0" w:color="auto"/>
            <w:left w:val="none" w:sz="0" w:space="0" w:color="auto"/>
            <w:bottom w:val="none" w:sz="0" w:space="0" w:color="auto"/>
            <w:right w:val="none" w:sz="0" w:space="0" w:color="auto"/>
          </w:divBdr>
        </w:div>
      </w:divsChild>
    </w:div>
    <w:div w:id="963653603">
      <w:bodyDiv w:val="1"/>
      <w:marLeft w:val="0"/>
      <w:marRight w:val="0"/>
      <w:marTop w:val="0"/>
      <w:marBottom w:val="0"/>
      <w:divBdr>
        <w:top w:val="none" w:sz="0" w:space="0" w:color="auto"/>
        <w:left w:val="none" w:sz="0" w:space="0" w:color="auto"/>
        <w:bottom w:val="none" w:sz="0" w:space="0" w:color="auto"/>
        <w:right w:val="none" w:sz="0" w:space="0" w:color="auto"/>
      </w:divBdr>
      <w:divsChild>
        <w:div w:id="139884260">
          <w:marLeft w:val="0"/>
          <w:marRight w:val="0"/>
          <w:marTop w:val="0"/>
          <w:marBottom w:val="0"/>
          <w:divBdr>
            <w:top w:val="none" w:sz="0" w:space="0" w:color="auto"/>
            <w:left w:val="none" w:sz="0" w:space="0" w:color="auto"/>
            <w:bottom w:val="none" w:sz="0" w:space="0" w:color="auto"/>
            <w:right w:val="none" w:sz="0" w:space="0" w:color="auto"/>
          </w:divBdr>
        </w:div>
        <w:div w:id="201862581">
          <w:marLeft w:val="0"/>
          <w:marRight w:val="0"/>
          <w:marTop w:val="0"/>
          <w:marBottom w:val="0"/>
          <w:divBdr>
            <w:top w:val="none" w:sz="0" w:space="0" w:color="auto"/>
            <w:left w:val="none" w:sz="0" w:space="0" w:color="auto"/>
            <w:bottom w:val="none" w:sz="0" w:space="0" w:color="auto"/>
            <w:right w:val="none" w:sz="0" w:space="0" w:color="auto"/>
          </w:divBdr>
        </w:div>
        <w:div w:id="448547686">
          <w:marLeft w:val="0"/>
          <w:marRight w:val="0"/>
          <w:marTop w:val="0"/>
          <w:marBottom w:val="0"/>
          <w:divBdr>
            <w:top w:val="none" w:sz="0" w:space="0" w:color="auto"/>
            <w:left w:val="none" w:sz="0" w:space="0" w:color="auto"/>
            <w:bottom w:val="none" w:sz="0" w:space="0" w:color="auto"/>
            <w:right w:val="none" w:sz="0" w:space="0" w:color="auto"/>
          </w:divBdr>
        </w:div>
        <w:div w:id="618224713">
          <w:marLeft w:val="0"/>
          <w:marRight w:val="0"/>
          <w:marTop w:val="0"/>
          <w:marBottom w:val="0"/>
          <w:divBdr>
            <w:top w:val="none" w:sz="0" w:space="0" w:color="auto"/>
            <w:left w:val="none" w:sz="0" w:space="0" w:color="auto"/>
            <w:bottom w:val="none" w:sz="0" w:space="0" w:color="auto"/>
            <w:right w:val="none" w:sz="0" w:space="0" w:color="auto"/>
          </w:divBdr>
        </w:div>
        <w:div w:id="675882005">
          <w:marLeft w:val="0"/>
          <w:marRight w:val="0"/>
          <w:marTop w:val="0"/>
          <w:marBottom w:val="0"/>
          <w:divBdr>
            <w:top w:val="none" w:sz="0" w:space="0" w:color="auto"/>
            <w:left w:val="none" w:sz="0" w:space="0" w:color="auto"/>
            <w:bottom w:val="none" w:sz="0" w:space="0" w:color="auto"/>
            <w:right w:val="none" w:sz="0" w:space="0" w:color="auto"/>
          </w:divBdr>
        </w:div>
        <w:div w:id="970134513">
          <w:marLeft w:val="0"/>
          <w:marRight w:val="0"/>
          <w:marTop w:val="0"/>
          <w:marBottom w:val="0"/>
          <w:divBdr>
            <w:top w:val="none" w:sz="0" w:space="0" w:color="auto"/>
            <w:left w:val="none" w:sz="0" w:space="0" w:color="auto"/>
            <w:bottom w:val="none" w:sz="0" w:space="0" w:color="auto"/>
            <w:right w:val="none" w:sz="0" w:space="0" w:color="auto"/>
          </w:divBdr>
        </w:div>
        <w:div w:id="997655123">
          <w:marLeft w:val="0"/>
          <w:marRight w:val="0"/>
          <w:marTop w:val="0"/>
          <w:marBottom w:val="0"/>
          <w:divBdr>
            <w:top w:val="none" w:sz="0" w:space="0" w:color="auto"/>
            <w:left w:val="none" w:sz="0" w:space="0" w:color="auto"/>
            <w:bottom w:val="none" w:sz="0" w:space="0" w:color="auto"/>
            <w:right w:val="none" w:sz="0" w:space="0" w:color="auto"/>
          </w:divBdr>
        </w:div>
        <w:div w:id="998196200">
          <w:marLeft w:val="0"/>
          <w:marRight w:val="0"/>
          <w:marTop w:val="0"/>
          <w:marBottom w:val="0"/>
          <w:divBdr>
            <w:top w:val="none" w:sz="0" w:space="0" w:color="auto"/>
            <w:left w:val="none" w:sz="0" w:space="0" w:color="auto"/>
            <w:bottom w:val="none" w:sz="0" w:space="0" w:color="auto"/>
            <w:right w:val="none" w:sz="0" w:space="0" w:color="auto"/>
          </w:divBdr>
        </w:div>
        <w:div w:id="1549489331">
          <w:marLeft w:val="0"/>
          <w:marRight w:val="0"/>
          <w:marTop w:val="0"/>
          <w:marBottom w:val="0"/>
          <w:divBdr>
            <w:top w:val="none" w:sz="0" w:space="0" w:color="auto"/>
            <w:left w:val="none" w:sz="0" w:space="0" w:color="auto"/>
            <w:bottom w:val="none" w:sz="0" w:space="0" w:color="auto"/>
            <w:right w:val="none" w:sz="0" w:space="0" w:color="auto"/>
          </w:divBdr>
        </w:div>
        <w:div w:id="1827553903">
          <w:marLeft w:val="0"/>
          <w:marRight w:val="0"/>
          <w:marTop w:val="0"/>
          <w:marBottom w:val="0"/>
          <w:divBdr>
            <w:top w:val="none" w:sz="0" w:space="0" w:color="auto"/>
            <w:left w:val="none" w:sz="0" w:space="0" w:color="auto"/>
            <w:bottom w:val="none" w:sz="0" w:space="0" w:color="auto"/>
            <w:right w:val="none" w:sz="0" w:space="0" w:color="auto"/>
          </w:divBdr>
        </w:div>
        <w:div w:id="1870490572">
          <w:marLeft w:val="0"/>
          <w:marRight w:val="0"/>
          <w:marTop w:val="0"/>
          <w:marBottom w:val="0"/>
          <w:divBdr>
            <w:top w:val="none" w:sz="0" w:space="0" w:color="auto"/>
            <w:left w:val="none" w:sz="0" w:space="0" w:color="auto"/>
            <w:bottom w:val="none" w:sz="0" w:space="0" w:color="auto"/>
            <w:right w:val="none" w:sz="0" w:space="0" w:color="auto"/>
          </w:divBdr>
        </w:div>
      </w:divsChild>
    </w:div>
    <w:div w:id="970286098">
      <w:bodyDiv w:val="1"/>
      <w:marLeft w:val="0"/>
      <w:marRight w:val="0"/>
      <w:marTop w:val="0"/>
      <w:marBottom w:val="0"/>
      <w:divBdr>
        <w:top w:val="none" w:sz="0" w:space="0" w:color="auto"/>
        <w:left w:val="none" w:sz="0" w:space="0" w:color="auto"/>
        <w:bottom w:val="none" w:sz="0" w:space="0" w:color="auto"/>
        <w:right w:val="none" w:sz="0" w:space="0" w:color="auto"/>
      </w:divBdr>
      <w:divsChild>
        <w:div w:id="122508298">
          <w:marLeft w:val="0"/>
          <w:marRight w:val="0"/>
          <w:marTop w:val="0"/>
          <w:marBottom w:val="0"/>
          <w:divBdr>
            <w:top w:val="none" w:sz="0" w:space="0" w:color="auto"/>
            <w:left w:val="none" w:sz="0" w:space="0" w:color="auto"/>
            <w:bottom w:val="none" w:sz="0" w:space="0" w:color="auto"/>
            <w:right w:val="none" w:sz="0" w:space="0" w:color="auto"/>
          </w:divBdr>
        </w:div>
        <w:div w:id="341710776">
          <w:marLeft w:val="0"/>
          <w:marRight w:val="0"/>
          <w:marTop w:val="0"/>
          <w:marBottom w:val="0"/>
          <w:divBdr>
            <w:top w:val="none" w:sz="0" w:space="0" w:color="auto"/>
            <w:left w:val="none" w:sz="0" w:space="0" w:color="auto"/>
            <w:bottom w:val="none" w:sz="0" w:space="0" w:color="auto"/>
            <w:right w:val="none" w:sz="0" w:space="0" w:color="auto"/>
          </w:divBdr>
        </w:div>
        <w:div w:id="510491361">
          <w:marLeft w:val="0"/>
          <w:marRight w:val="0"/>
          <w:marTop w:val="0"/>
          <w:marBottom w:val="0"/>
          <w:divBdr>
            <w:top w:val="none" w:sz="0" w:space="0" w:color="auto"/>
            <w:left w:val="none" w:sz="0" w:space="0" w:color="auto"/>
            <w:bottom w:val="none" w:sz="0" w:space="0" w:color="auto"/>
            <w:right w:val="none" w:sz="0" w:space="0" w:color="auto"/>
          </w:divBdr>
        </w:div>
        <w:div w:id="642546534">
          <w:marLeft w:val="0"/>
          <w:marRight w:val="0"/>
          <w:marTop w:val="0"/>
          <w:marBottom w:val="0"/>
          <w:divBdr>
            <w:top w:val="none" w:sz="0" w:space="0" w:color="auto"/>
            <w:left w:val="none" w:sz="0" w:space="0" w:color="auto"/>
            <w:bottom w:val="none" w:sz="0" w:space="0" w:color="auto"/>
            <w:right w:val="none" w:sz="0" w:space="0" w:color="auto"/>
          </w:divBdr>
        </w:div>
        <w:div w:id="973752622">
          <w:marLeft w:val="0"/>
          <w:marRight w:val="0"/>
          <w:marTop w:val="0"/>
          <w:marBottom w:val="0"/>
          <w:divBdr>
            <w:top w:val="none" w:sz="0" w:space="0" w:color="auto"/>
            <w:left w:val="none" w:sz="0" w:space="0" w:color="auto"/>
            <w:bottom w:val="none" w:sz="0" w:space="0" w:color="auto"/>
            <w:right w:val="none" w:sz="0" w:space="0" w:color="auto"/>
          </w:divBdr>
        </w:div>
      </w:divsChild>
    </w:div>
    <w:div w:id="983779123">
      <w:bodyDiv w:val="1"/>
      <w:marLeft w:val="0"/>
      <w:marRight w:val="0"/>
      <w:marTop w:val="0"/>
      <w:marBottom w:val="0"/>
      <w:divBdr>
        <w:top w:val="none" w:sz="0" w:space="0" w:color="auto"/>
        <w:left w:val="none" w:sz="0" w:space="0" w:color="auto"/>
        <w:bottom w:val="none" w:sz="0" w:space="0" w:color="auto"/>
        <w:right w:val="none" w:sz="0" w:space="0" w:color="auto"/>
      </w:divBdr>
      <w:divsChild>
        <w:div w:id="287857724">
          <w:marLeft w:val="0"/>
          <w:marRight w:val="0"/>
          <w:marTop w:val="0"/>
          <w:marBottom w:val="0"/>
          <w:divBdr>
            <w:top w:val="none" w:sz="0" w:space="0" w:color="auto"/>
            <w:left w:val="none" w:sz="0" w:space="0" w:color="auto"/>
            <w:bottom w:val="none" w:sz="0" w:space="0" w:color="auto"/>
            <w:right w:val="none" w:sz="0" w:space="0" w:color="auto"/>
          </w:divBdr>
        </w:div>
        <w:div w:id="340739041">
          <w:marLeft w:val="0"/>
          <w:marRight w:val="0"/>
          <w:marTop w:val="0"/>
          <w:marBottom w:val="0"/>
          <w:divBdr>
            <w:top w:val="none" w:sz="0" w:space="0" w:color="auto"/>
            <w:left w:val="none" w:sz="0" w:space="0" w:color="auto"/>
            <w:bottom w:val="none" w:sz="0" w:space="0" w:color="auto"/>
            <w:right w:val="none" w:sz="0" w:space="0" w:color="auto"/>
          </w:divBdr>
        </w:div>
        <w:div w:id="435830196">
          <w:marLeft w:val="0"/>
          <w:marRight w:val="0"/>
          <w:marTop w:val="0"/>
          <w:marBottom w:val="0"/>
          <w:divBdr>
            <w:top w:val="none" w:sz="0" w:space="0" w:color="auto"/>
            <w:left w:val="none" w:sz="0" w:space="0" w:color="auto"/>
            <w:bottom w:val="none" w:sz="0" w:space="0" w:color="auto"/>
            <w:right w:val="none" w:sz="0" w:space="0" w:color="auto"/>
          </w:divBdr>
        </w:div>
        <w:div w:id="585572497">
          <w:marLeft w:val="0"/>
          <w:marRight w:val="0"/>
          <w:marTop w:val="0"/>
          <w:marBottom w:val="0"/>
          <w:divBdr>
            <w:top w:val="none" w:sz="0" w:space="0" w:color="auto"/>
            <w:left w:val="none" w:sz="0" w:space="0" w:color="auto"/>
            <w:bottom w:val="none" w:sz="0" w:space="0" w:color="auto"/>
            <w:right w:val="none" w:sz="0" w:space="0" w:color="auto"/>
          </w:divBdr>
        </w:div>
        <w:div w:id="832186998">
          <w:marLeft w:val="0"/>
          <w:marRight w:val="0"/>
          <w:marTop w:val="0"/>
          <w:marBottom w:val="0"/>
          <w:divBdr>
            <w:top w:val="none" w:sz="0" w:space="0" w:color="auto"/>
            <w:left w:val="none" w:sz="0" w:space="0" w:color="auto"/>
            <w:bottom w:val="none" w:sz="0" w:space="0" w:color="auto"/>
            <w:right w:val="none" w:sz="0" w:space="0" w:color="auto"/>
          </w:divBdr>
        </w:div>
        <w:div w:id="1693919138">
          <w:marLeft w:val="0"/>
          <w:marRight w:val="0"/>
          <w:marTop w:val="0"/>
          <w:marBottom w:val="0"/>
          <w:divBdr>
            <w:top w:val="none" w:sz="0" w:space="0" w:color="auto"/>
            <w:left w:val="none" w:sz="0" w:space="0" w:color="auto"/>
            <w:bottom w:val="none" w:sz="0" w:space="0" w:color="auto"/>
            <w:right w:val="none" w:sz="0" w:space="0" w:color="auto"/>
          </w:divBdr>
        </w:div>
        <w:div w:id="1740639706">
          <w:marLeft w:val="0"/>
          <w:marRight w:val="0"/>
          <w:marTop w:val="0"/>
          <w:marBottom w:val="0"/>
          <w:divBdr>
            <w:top w:val="none" w:sz="0" w:space="0" w:color="auto"/>
            <w:left w:val="none" w:sz="0" w:space="0" w:color="auto"/>
            <w:bottom w:val="none" w:sz="0" w:space="0" w:color="auto"/>
            <w:right w:val="none" w:sz="0" w:space="0" w:color="auto"/>
          </w:divBdr>
        </w:div>
        <w:div w:id="2046055367">
          <w:marLeft w:val="0"/>
          <w:marRight w:val="0"/>
          <w:marTop w:val="0"/>
          <w:marBottom w:val="0"/>
          <w:divBdr>
            <w:top w:val="none" w:sz="0" w:space="0" w:color="auto"/>
            <w:left w:val="none" w:sz="0" w:space="0" w:color="auto"/>
            <w:bottom w:val="none" w:sz="0" w:space="0" w:color="auto"/>
            <w:right w:val="none" w:sz="0" w:space="0" w:color="auto"/>
          </w:divBdr>
        </w:div>
        <w:div w:id="2110660434">
          <w:marLeft w:val="0"/>
          <w:marRight w:val="0"/>
          <w:marTop w:val="0"/>
          <w:marBottom w:val="0"/>
          <w:divBdr>
            <w:top w:val="none" w:sz="0" w:space="0" w:color="auto"/>
            <w:left w:val="none" w:sz="0" w:space="0" w:color="auto"/>
            <w:bottom w:val="none" w:sz="0" w:space="0" w:color="auto"/>
            <w:right w:val="none" w:sz="0" w:space="0" w:color="auto"/>
          </w:divBdr>
        </w:div>
      </w:divsChild>
    </w:div>
    <w:div w:id="998459655">
      <w:bodyDiv w:val="1"/>
      <w:marLeft w:val="0"/>
      <w:marRight w:val="0"/>
      <w:marTop w:val="0"/>
      <w:marBottom w:val="0"/>
      <w:divBdr>
        <w:top w:val="none" w:sz="0" w:space="0" w:color="auto"/>
        <w:left w:val="none" w:sz="0" w:space="0" w:color="auto"/>
        <w:bottom w:val="none" w:sz="0" w:space="0" w:color="auto"/>
        <w:right w:val="none" w:sz="0" w:space="0" w:color="auto"/>
      </w:divBdr>
      <w:divsChild>
        <w:div w:id="273557766">
          <w:marLeft w:val="0"/>
          <w:marRight w:val="0"/>
          <w:marTop w:val="0"/>
          <w:marBottom w:val="0"/>
          <w:divBdr>
            <w:top w:val="none" w:sz="0" w:space="0" w:color="auto"/>
            <w:left w:val="none" w:sz="0" w:space="0" w:color="auto"/>
            <w:bottom w:val="none" w:sz="0" w:space="0" w:color="auto"/>
            <w:right w:val="none" w:sz="0" w:space="0" w:color="auto"/>
          </w:divBdr>
        </w:div>
        <w:div w:id="522018263">
          <w:marLeft w:val="0"/>
          <w:marRight w:val="0"/>
          <w:marTop w:val="0"/>
          <w:marBottom w:val="0"/>
          <w:divBdr>
            <w:top w:val="none" w:sz="0" w:space="0" w:color="auto"/>
            <w:left w:val="none" w:sz="0" w:space="0" w:color="auto"/>
            <w:bottom w:val="none" w:sz="0" w:space="0" w:color="auto"/>
            <w:right w:val="none" w:sz="0" w:space="0" w:color="auto"/>
          </w:divBdr>
        </w:div>
        <w:div w:id="758865016">
          <w:marLeft w:val="0"/>
          <w:marRight w:val="0"/>
          <w:marTop w:val="0"/>
          <w:marBottom w:val="0"/>
          <w:divBdr>
            <w:top w:val="none" w:sz="0" w:space="0" w:color="auto"/>
            <w:left w:val="none" w:sz="0" w:space="0" w:color="auto"/>
            <w:bottom w:val="none" w:sz="0" w:space="0" w:color="auto"/>
            <w:right w:val="none" w:sz="0" w:space="0" w:color="auto"/>
          </w:divBdr>
        </w:div>
        <w:div w:id="1854100931">
          <w:marLeft w:val="0"/>
          <w:marRight w:val="0"/>
          <w:marTop w:val="0"/>
          <w:marBottom w:val="0"/>
          <w:divBdr>
            <w:top w:val="none" w:sz="0" w:space="0" w:color="auto"/>
            <w:left w:val="none" w:sz="0" w:space="0" w:color="auto"/>
            <w:bottom w:val="none" w:sz="0" w:space="0" w:color="auto"/>
            <w:right w:val="none" w:sz="0" w:space="0" w:color="auto"/>
          </w:divBdr>
        </w:div>
        <w:div w:id="2045861278">
          <w:marLeft w:val="0"/>
          <w:marRight w:val="0"/>
          <w:marTop w:val="0"/>
          <w:marBottom w:val="0"/>
          <w:divBdr>
            <w:top w:val="none" w:sz="0" w:space="0" w:color="auto"/>
            <w:left w:val="none" w:sz="0" w:space="0" w:color="auto"/>
            <w:bottom w:val="none" w:sz="0" w:space="0" w:color="auto"/>
            <w:right w:val="none" w:sz="0" w:space="0" w:color="auto"/>
          </w:divBdr>
        </w:div>
      </w:divsChild>
    </w:div>
    <w:div w:id="1004213167">
      <w:bodyDiv w:val="1"/>
      <w:marLeft w:val="0"/>
      <w:marRight w:val="0"/>
      <w:marTop w:val="0"/>
      <w:marBottom w:val="0"/>
      <w:divBdr>
        <w:top w:val="none" w:sz="0" w:space="0" w:color="auto"/>
        <w:left w:val="none" w:sz="0" w:space="0" w:color="auto"/>
        <w:bottom w:val="none" w:sz="0" w:space="0" w:color="auto"/>
        <w:right w:val="none" w:sz="0" w:space="0" w:color="auto"/>
      </w:divBdr>
      <w:divsChild>
        <w:div w:id="365057736">
          <w:marLeft w:val="0"/>
          <w:marRight w:val="0"/>
          <w:marTop w:val="0"/>
          <w:marBottom w:val="0"/>
          <w:divBdr>
            <w:top w:val="none" w:sz="0" w:space="0" w:color="auto"/>
            <w:left w:val="none" w:sz="0" w:space="0" w:color="auto"/>
            <w:bottom w:val="none" w:sz="0" w:space="0" w:color="auto"/>
            <w:right w:val="none" w:sz="0" w:space="0" w:color="auto"/>
          </w:divBdr>
        </w:div>
        <w:div w:id="478351286">
          <w:marLeft w:val="0"/>
          <w:marRight w:val="0"/>
          <w:marTop w:val="0"/>
          <w:marBottom w:val="0"/>
          <w:divBdr>
            <w:top w:val="none" w:sz="0" w:space="0" w:color="auto"/>
            <w:left w:val="none" w:sz="0" w:space="0" w:color="auto"/>
            <w:bottom w:val="none" w:sz="0" w:space="0" w:color="auto"/>
            <w:right w:val="none" w:sz="0" w:space="0" w:color="auto"/>
          </w:divBdr>
        </w:div>
        <w:div w:id="622927045">
          <w:marLeft w:val="0"/>
          <w:marRight w:val="0"/>
          <w:marTop w:val="0"/>
          <w:marBottom w:val="0"/>
          <w:divBdr>
            <w:top w:val="none" w:sz="0" w:space="0" w:color="auto"/>
            <w:left w:val="none" w:sz="0" w:space="0" w:color="auto"/>
            <w:bottom w:val="none" w:sz="0" w:space="0" w:color="auto"/>
            <w:right w:val="none" w:sz="0" w:space="0" w:color="auto"/>
          </w:divBdr>
        </w:div>
        <w:div w:id="870842799">
          <w:marLeft w:val="0"/>
          <w:marRight w:val="0"/>
          <w:marTop w:val="0"/>
          <w:marBottom w:val="0"/>
          <w:divBdr>
            <w:top w:val="none" w:sz="0" w:space="0" w:color="auto"/>
            <w:left w:val="none" w:sz="0" w:space="0" w:color="auto"/>
            <w:bottom w:val="none" w:sz="0" w:space="0" w:color="auto"/>
            <w:right w:val="none" w:sz="0" w:space="0" w:color="auto"/>
          </w:divBdr>
        </w:div>
        <w:div w:id="1321811135">
          <w:marLeft w:val="0"/>
          <w:marRight w:val="0"/>
          <w:marTop w:val="0"/>
          <w:marBottom w:val="0"/>
          <w:divBdr>
            <w:top w:val="none" w:sz="0" w:space="0" w:color="auto"/>
            <w:left w:val="none" w:sz="0" w:space="0" w:color="auto"/>
            <w:bottom w:val="none" w:sz="0" w:space="0" w:color="auto"/>
            <w:right w:val="none" w:sz="0" w:space="0" w:color="auto"/>
          </w:divBdr>
        </w:div>
        <w:div w:id="1379084480">
          <w:marLeft w:val="0"/>
          <w:marRight w:val="0"/>
          <w:marTop w:val="0"/>
          <w:marBottom w:val="0"/>
          <w:divBdr>
            <w:top w:val="none" w:sz="0" w:space="0" w:color="auto"/>
            <w:left w:val="none" w:sz="0" w:space="0" w:color="auto"/>
            <w:bottom w:val="none" w:sz="0" w:space="0" w:color="auto"/>
            <w:right w:val="none" w:sz="0" w:space="0" w:color="auto"/>
          </w:divBdr>
        </w:div>
        <w:div w:id="1507281025">
          <w:marLeft w:val="0"/>
          <w:marRight w:val="0"/>
          <w:marTop w:val="0"/>
          <w:marBottom w:val="0"/>
          <w:divBdr>
            <w:top w:val="none" w:sz="0" w:space="0" w:color="auto"/>
            <w:left w:val="none" w:sz="0" w:space="0" w:color="auto"/>
            <w:bottom w:val="none" w:sz="0" w:space="0" w:color="auto"/>
            <w:right w:val="none" w:sz="0" w:space="0" w:color="auto"/>
          </w:divBdr>
        </w:div>
      </w:divsChild>
    </w:div>
    <w:div w:id="1010596034">
      <w:bodyDiv w:val="1"/>
      <w:marLeft w:val="0"/>
      <w:marRight w:val="0"/>
      <w:marTop w:val="0"/>
      <w:marBottom w:val="0"/>
      <w:divBdr>
        <w:top w:val="none" w:sz="0" w:space="0" w:color="auto"/>
        <w:left w:val="none" w:sz="0" w:space="0" w:color="auto"/>
        <w:bottom w:val="none" w:sz="0" w:space="0" w:color="auto"/>
        <w:right w:val="none" w:sz="0" w:space="0" w:color="auto"/>
      </w:divBdr>
      <w:divsChild>
        <w:div w:id="80414654">
          <w:marLeft w:val="0"/>
          <w:marRight w:val="0"/>
          <w:marTop w:val="0"/>
          <w:marBottom w:val="0"/>
          <w:divBdr>
            <w:top w:val="none" w:sz="0" w:space="0" w:color="auto"/>
            <w:left w:val="none" w:sz="0" w:space="0" w:color="auto"/>
            <w:bottom w:val="none" w:sz="0" w:space="0" w:color="auto"/>
            <w:right w:val="none" w:sz="0" w:space="0" w:color="auto"/>
          </w:divBdr>
        </w:div>
        <w:div w:id="197162541">
          <w:marLeft w:val="0"/>
          <w:marRight w:val="0"/>
          <w:marTop w:val="0"/>
          <w:marBottom w:val="0"/>
          <w:divBdr>
            <w:top w:val="none" w:sz="0" w:space="0" w:color="auto"/>
            <w:left w:val="none" w:sz="0" w:space="0" w:color="auto"/>
            <w:bottom w:val="none" w:sz="0" w:space="0" w:color="auto"/>
            <w:right w:val="none" w:sz="0" w:space="0" w:color="auto"/>
          </w:divBdr>
        </w:div>
        <w:div w:id="496502621">
          <w:marLeft w:val="0"/>
          <w:marRight w:val="0"/>
          <w:marTop w:val="0"/>
          <w:marBottom w:val="0"/>
          <w:divBdr>
            <w:top w:val="none" w:sz="0" w:space="0" w:color="auto"/>
            <w:left w:val="none" w:sz="0" w:space="0" w:color="auto"/>
            <w:bottom w:val="none" w:sz="0" w:space="0" w:color="auto"/>
            <w:right w:val="none" w:sz="0" w:space="0" w:color="auto"/>
          </w:divBdr>
        </w:div>
        <w:div w:id="508954148">
          <w:marLeft w:val="0"/>
          <w:marRight w:val="0"/>
          <w:marTop w:val="0"/>
          <w:marBottom w:val="0"/>
          <w:divBdr>
            <w:top w:val="none" w:sz="0" w:space="0" w:color="auto"/>
            <w:left w:val="none" w:sz="0" w:space="0" w:color="auto"/>
            <w:bottom w:val="none" w:sz="0" w:space="0" w:color="auto"/>
            <w:right w:val="none" w:sz="0" w:space="0" w:color="auto"/>
          </w:divBdr>
        </w:div>
        <w:div w:id="963270481">
          <w:marLeft w:val="0"/>
          <w:marRight w:val="0"/>
          <w:marTop w:val="0"/>
          <w:marBottom w:val="0"/>
          <w:divBdr>
            <w:top w:val="none" w:sz="0" w:space="0" w:color="auto"/>
            <w:left w:val="none" w:sz="0" w:space="0" w:color="auto"/>
            <w:bottom w:val="none" w:sz="0" w:space="0" w:color="auto"/>
            <w:right w:val="none" w:sz="0" w:space="0" w:color="auto"/>
          </w:divBdr>
        </w:div>
        <w:div w:id="1106920846">
          <w:marLeft w:val="0"/>
          <w:marRight w:val="0"/>
          <w:marTop w:val="0"/>
          <w:marBottom w:val="0"/>
          <w:divBdr>
            <w:top w:val="none" w:sz="0" w:space="0" w:color="auto"/>
            <w:left w:val="none" w:sz="0" w:space="0" w:color="auto"/>
            <w:bottom w:val="none" w:sz="0" w:space="0" w:color="auto"/>
            <w:right w:val="none" w:sz="0" w:space="0" w:color="auto"/>
          </w:divBdr>
        </w:div>
        <w:div w:id="1802574718">
          <w:marLeft w:val="0"/>
          <w:marRight w:val="0"/>
          <w:marTop w:val="0"/>
          <w:marBottom w:val="0"/>
          <w:divBdr>
            <w:top w:val="none" w:sz="0" w:space="0" w:color="auto"/>
            <w:left w:val="none" w:sz="0" w:space="0" w:color="auto"/>
            <w:bottom w:val="none" w:sz="0" w:space="0" w:color="auto"/>
            <w:right w:val="none" w:sz="0" w:space="0" w:color="auto"/>
          </w:divBdr>
        </w:div>
        <w:div w:id="1828327019">
          <w:marLeft w:val="0"/>
          <w:marRight w:val="0"/>
          <w:marTop w:val="0"/>
          <w:marBottom w:val="0"/>
          <w:divBdr>
            <w:top w:val="none" w:sz="0" w:space="0" w:color="auto"/>
            <w:left w:val="none" w:sz="0" w:space="0" w:color="auto"/>
            <w:bottom w:val="none" w:sz="0" w:space="0" w:color="auto"/>
            <w:right w:val="none" w:sz="0" w:space="0" w:color="auto"/>
          </w:divBdr>
        </w:div>
        <w:div w:id="2092118558">
          <w:marLeft w:val="0"/>
          <w:marRight w:val="0"/>
          <w:marTop w:val="0"/>
          <w:marBottom w:val="0"/>
          <w:divBdr>
            <w:top w:val="none" w:sz="0" w:space="0" w:color="auto"/>
            <w:left w:val="none" w:sz="0" w:space="0" w:color="auto"/>
            <w:bottom w:val="none" w:sz="0" w:space="0" w:color="auto"/>
            <w:right w:val="none" w:sz="0" w:space="0" w:color="auto"/>
          </w:divBdr>
        </w:div>
      </w:divsChild>
    </w:div>
    <w:div w:id="1016346037">
      <w:bodyDiv w:val="1"/>
      <w:marLeft w:val="0"/>
      <w:marRight w:val="0"/>
      <w:marTop w:val="0"/>
      <w:marBottom w:val="0"/>
      <w:divBdr>
        <w:top w:val="none" w:sz="0" w:space="0" w:color="auto"/>
        <w:left w:val="none" w:sz="0" w:space="0" w:color="auto"/>
        <w:bottom w:val="none" w:sz="0" w:space="0" w:color="auto"/>
        <w:right w:val="none" w:sz="0" w:space="0" w:color="auto"/>
      </w:divBdr>
      <w:divsChild>
        <w:div w:id="82452887">
          <w:marLeft w:val="0"/>
          <w:marRight w:val="0"/>
          <w:marTop w:val="0"/>
          <w:marBottom w:val="0"/>
          <w:divBdr>
            <w:top w:val="none" w:sz="0" w:space="0" w:color="auto"/>
            <w:left w:val="none" w:sz="0" w:space="0" w:color="auto"/>
            <w:bottom w:val="none" w:sz="0" w:space="0" w:color="auto"/>
            <w:right w:val="none" w:sz="0" w:space="0" w:color="auto"/>
          </w:divBdr>
        </w:div>
        <w:div w:id="320013606">
          <w:marLeft w:val="0"/>
          <w:marRight w:val="0"/>
          <w:marTop w:val="0"/>
          <w:marBottom w:val="0"/>
          <w:divBdr>
            <w:top w:val="none" w:sz="0" w:space="0" w:color="auto"/>
            <w:left w:val="none" w:sz="0" w:space="0" w:color="auto"/>
            <w:bottom w:val="none" w:sz="0" w:space="0" w:color="auto"/>
            <w:right w:val="none" w:sz="0" w:space="0" w:color="auto"/>
          </w:divBdr>
        </w:div>
        <w:div w:id="394742142">
          <w:marLeft w:val="0"/>
          <w:marRight w:val="0"/>
          <w:marTop w:val="0"/>
          <w:marBottom w:val="0"/>
          <w:divBdr>
            <w:top w:val="none" w:sz="0" w:space="0" w:color="auto"/>
            <w:left w:val="none" w:sz="0" w:space="0" w:color="auto"/>
            <w:bottom w:val="none" w:sz="0" w:space="0" w:color="auto"/>
            <w:right w:val="none" w:sz="0" w:space="0" w:color="auto"/>
          </w:divBdr>
        </w:div>
        <w:div w:id="472336874">
          <w:marLeft w:val="0"/>
          <w:marRight w:val="0"/>
          <w:marTop w:val="0"/>
          <w:marBottom w:val="0"/>
          <w:divBdr>
            <w:top w:val="none" w:sz="0" w:space="0" w:color="auto"/>
            <w:left w:val="none" w:sz="0" w:space="0" w:color="auto"/>
            <w:bottom w:val="none" w:sz="0" w:space="0" w:color="auto"/>
            <w:right w:val="none" w:sz="0" w:space="0" w:color="auto"/>
          </w:divBdr>
        </w:div>
        <w:div w:id="475758531">
          <w:marLeft w:val="0"/>
          <w:marRight w:val="0"/>
          <w:marTop w:val="0"/>
          <w:marBottom w:val="0"/>
          <w:divBdr>
            <w:top w:val="none" w:sz="0" w:space="0" w:color="auto"/>
            <w:left w:val="none" w:sz="0" w:space="0" w:color="auto"/>
            <w:bottom w:val="none" w:sz="0" w:space="0" w:color="auto"/>
            <w:right w:val="none" w:sz="0" w:space="0" w:color="auto"/>
          </w:divBdr>
        </w:div>
        <w:div w:id="773210653">
          <w:marLeft w:val="0"/>
          <w:marRight w:val="0"/>
          <w:marTop w:val="0"/>
          <w:marBottom w:val="0"/>
          <w:divBdr>
            <w:top w:val="none" w:sz="0" w:space="0" w:color="auto"/>
            <w:left w:val="none" w:sz="0" w:space="0" w:color="auto"/>
            <w:bottom w:val="none" w:sz="0" w:space="0" w:color="auto"/>
            <w:right w:val="none" w:sz="0" w:space="0" w:color="auto"/>
          </w:divBdr>
        </w:div>
        <w:div w:id="807552500">
          <w:marLeft w:val="0"/>
          <w:marRight w:val="0"/>
          <w:marTop w:val="0"/>
          <w:marBottom w:val="0"/>
          <w:divBdr>
            <w:top w:val="none" w:sz="0" w:space="0" w:color="auto"/>
            <w:left w:val="none" w:sz="0" w:space="0" w:color="auto"/>
            <w:bottom w:val="none" w:sz="0" w:space="0" w:color="auto"/>
            <w:right w:val="none" w:sz="0" w:space="0" w:color="auto"/>
          </w:divBdr>
        </w:div>
        <w:div w:id="1543328140">
          <w:marLeft w:val="0"/>
          <w:marRight w:val="0"/>
          <w:marTop w:val="0"/>
          <w:marBottom w:val="0"/>
          <w:divBdr>
            <w:top w:val="none" w:sz="0" w:space="0" w:color="auto"/>
            <w:left w:val="none" w:sz="0" w:space="0" w:color="auto"/>
            <w:bottom w:val="none" w:sz="0" w:space="0" w:color="auto"/>
            <w:right w:val="none" w:sz="0" w:space="0" w:color="auto"/>
          </w:divBdr>
        </w:div>
        <w:div w:id="1639993502">
          <w:marLeft w:val="0"/>
          <w:marRight w:val="0"/>
          <w:marTop w:val="0"/>
          <w:marBottom w:val="0"/>
          <w:divBdr>
            <w:top w:val="none" w:sz="0" w:space="0" w:color="auto"/>
            <w:left w:val="none" w:sz="0" w:space="0" w:color="auto"/>
            <w:bottom w:val="none" w:sz="0" w:space="0" w:color="auto"/>
            <w:right w:val="none" w:sz="0" w:space="0" w:color="auto"/>
          </w:divBdr>
        </w:div>
        <w:div w:id="1652784311">
          <w:marLeft w:val="0"/>
          <w:marRight w:val="0"/>
          <w:marTop w:val="0"/>
          <w:marBottom w:val="0"/>
          <w:divBdr>
            <w:top w:val="none" w:sz="0" w:space="0" w:color="auto"/>
            <w:left w:val="none" w:sz="0" w:space="0" w:color="auto"/>
            <w:bottom w:val="none" w:sz="0" w:space="0" w:color="auto"/>
            <w:right w:val="none" w:sz="0" w:space="0" w:color="auto"/>
          </w:divBdr>
        </w:div>
        <w:div w:id="1974677404">
          <w:marLeft w:val="0"/>
          <w:marRight w:val="0"/>
          <w:marTop w:val="0"/>
          <w:marBottom w:val="0"/>
          <w:divBdr>
            <w:top w:val="none" w:sz="0" w:space="0" w:color="auto"/>
            <w:left w:val="none" w:sz="0" w:space="0" w:color="auto"/>
            <w:bottom w:val="none" w:sz="0" w:space="0" w:color="auto"/>
            <w:right w:val="none" w:sz="0" w:space="0" w:color="auto"/>
          </w:divBdr>
          <w:divsChild>
            <w:div w:id="519510428">
              <w:marLeft w:val="0"/>
              <w:marRight w:val="0"/>
              <w:marTop w:val="0"/>
              <w:marBottom w:val="0"/>
              <w:divBdr>
                <w:top w:val="none" w:sz="0" w:space="0" w:color="auto"/>
                <w:left w:val="none" w:sz="0" w:space="0" w:color="auto"/>
                <w:bottom w:val="none" w:sz="0" w:space="0" w:color="auto"/>
                <w:right w:val="none" w:sz="0" w:space="0" w:color="auto"/>
              </w:divBdr>
            </w:div>
            <w:div w:id="1601256225">
              <w:marLeft w:val="0"/>
              <w:marRight w:val="0"/>
              <w:marTop w:val="0"/>
              <w:marBottom w:val="0"/>
              <w:divBdr>
                <w:top w:val="none" w:sz="0" w:space="0" w:color="auto"/>
                <w:left w:val="none" w:sz="0" w:space="0" w:color="auto"/>
                <w:bottom w:val="none" w:sz="0" w:space="0" w:color="auto"/>
                <w:right w:val="none" w:sz="0" w:space="0" w:color="auto"/>
              </w:divBdr>
            </w:div>
            <w:div w:id="1631981018">
              <w:marLeft w:val="0"/>
              <w:marRight w:val="0"/>
              <w:marTop w:val="0"/>
              <w:marBottom w:val="0"/>
              <w:divBdr>
                <w:top w:val="none" w:sz="0" w:space="0" w:color="auto"/>
                <w:left w:val="none" w:sz="0" w:space="0" w:color="auto"/>
                <w:bottom w:val="none" w:sz="0" w:space="0" w:color="auto"/>
                <w:right w:val="none" w:sz="0" w:space="0" w:color="auto"/>
              </w:divBdr>
            </w:div>
            <w:div w:id="1828476060">
              <w:marLeft w:val="0"/>
              <w:marRight w:val="0"/>
              <w:marTop w:val="0"/>
              <w:marBottom w:val="0"/>
              <w:divBdr>
                <w:top w:val="none" w:sz="0" w:space="0" w:color="auto"/>
                <w:left w:val="none" w:sz="0" w:space="0" w:color="auto"/>
                <w:bottom w:val="none" w:sz="0" w:space="0" w:color="auto"/>
                <w:right w:val="none" w:sz="0" w:space="0" w:color="auto"/>
              </w:divBdr>
            </w:div>
            <w:div w:id="1876692954">
              <w:marLeft w:val="0"/>
              <w:marRight w:val="0"/>
              <w:marTop w:val="0"/>
              <w:marBottom w:val="0"/>
              <w:divBdr>
                <w:top w:val="none" w:sz="0" w:space="0" w:color="auto"/>
                <w:left w:val="none" w:sz="0" w:space="0" w:color="auto"/>
                <w:bottom w:val="none" w:sz="0" w:space="0" w:color="auto"/>
                <w:right w:val="none" w:sz="0" w:space="0" w:color="auto"/>
              </w:divBdr>
            </w:div>
          </w:divsChild>
        </w:div>
        <w:div w:id="2016375320">
          <w:marLeft w:val="0"/>
          <w:marRight w:val="0"/>
          <w:marTop w:val="0"/>
          <w:marBottom w:val="0"/>
          <w:divBdr>
            <w:top w:val="none" w:sz="0" w:space="0" w:color="auto"/>
            <w:left w:val="none" w:sz="0" w:space="0" w:color="auto"/>
            <w:bottom w:val="none" w:sz="0" w:space="0" w:color="auto"/>
            <w:right w:val="none" w:sz="0" w:space="0" w:color="auto"/>
          </w:divBdr>
        </w:div>
        <w:div w:id="2093502095">
          <w:marLeft w:val="0"/>
          <w:marRight w:val="0"/>
          <w:marTop w:val="0"/>
          <w:marBottom w:val="0"/>
          <w:divBdr>
            <w:top w:val="none" w:sz="0" w:space="0" w:color="auto"/>
            <w:left w:val="none" w:sz="0" w:space="0" w:color="auto"/>
            <w:bottom w:val="none" w:sz="0" w:space="0" w:color="auto"/>
            <w:right w:val="none" w:sz="0" w:space="0" w:color="auto"/>
          </w:divBdr>
        </w:div>
      </w:divsChild>
    </w:div>
    <w:div w:id="1018198337">
      <w:bodyDiv w:val="1"/>
      <w:marLeft w:val="0"/>
      <w:marRight w:val="0"/>
      <w:marTop w:val="0"/>
      <w:marBottom w:val="0"/>
      <w:divBdr>
        <w:top w:val="none" w:sz="0" w:space="0" w:color="auto"/>
        <w:left w:val="none" w:sz="0" w:space="0" w:color="auto"/>
        <w:bottom w:val="none" w:sz="0" w:space="0" w:color="auto"/>
        <w:right w:val="none" w:sz="0" w:space="0" w:color="auto"/>
      </w:divBdr>
      <w:divsChild>
        <w:div w:id="185169590">
          <w:marLeft w:val="0"/>
          <w:marRight w:val="0"/>
          <w:marTop w:val="0"/>
          <w:marBottom w:val="0"/>
          <w:divBdr>
            <w:top w:val="none" w:sz="0" w:space="0" w:color="auto"/>
            <w:left w:val="none" w:sz="0" w:space="0" w:color="auto"/>
            <w:bottom w:val="none" w:sz="0" w:space="0" w:color="auto"/>
            <w:right w:val="none" w:sz="0" w:space="0" w:color="auto"/>
          </w:divBdr>
        </w:div>
        <w:div w:id="444690767">
          <w:marLeft w:val="0"/>
          <w:marRight w:val="0"/>
          <w:marTop w:val="0"/>
          <w:marBottom w:val="0"/>
          <w:divBdr>
            <w:top w:val="none" w:sz="0" w:space="0" w:color="auto"/>
            <w:left w:val="none" w:sz="0" w:space="0" w:color="auto"/>
            <w:bottom w:val="none" w:sz="0" w:space="0" w:color="auto"/>
            <w:right w:val="none" w:sz="0" w:space="0" w:color="auto"/>
          </w:divBdr>
          <w:divsChild>
            <w:div w:id="276835359">
              <w:marLeft w:val="0"/>
              <w:marRight w:val="0"/>
              <w:marTop w:val="0"/>
              <w:marBottom w:val="0"/>
              <w:divBdr>
                <w:top w:val="none" w:sz="0" w:space="0" w:color="auto"/>
                <w:left w:val="none" w:sz="0" w:space="0" w:color="auto"/>
                <w:bottom w:val="none" w:sz="0" w:space="0" w:color="auto"/>
                <w:right w:val="none" w:sz="0" w:space="0" w:color="auto"/>
              </w:divBdr>
            </w:div>
            <w:div w:id="290062975">
              <w:marLeft w:val="0"/>
              <w:marRight w:val="0"/>
              <w:marTop w:val="0"/>
              <w:marBottom w:val="0"/>
              <w:divBdr>
                <w:top w:val="none" w:sz="0" w:space="0" w:color="auto"/>
                <w:left w:val="none" w:sz="0" w:space="0" w:color="auto"/>
                <w:bottom w:val="none" w:sz="0" w:space="0" w:color="auto"/>
                <w:right w:val="none" w:sz="0" w:space="0" w:color="auto"/>
              </w:divBdr>
            </w:div>
            <w:div w:id="667563960">
              <w:marLeft w:val="0"/>
              <w:marRight w:val="0"/>
              <w:marTop w:val="0"/>
              <w:marBottom w:val="0"/>
              <w:divBdr>
                <w:top w:val="none" w:sz="0" w:space="0" w:color="auto"/>
                <w:left w:val="none" w:sz="0" w:space="0" w:color="auto"/>
                <w:bottom w:val="none" w:sz="0" w:space="0" w:color="auto"/>
                <w:right w:val="none" w:sz="0" w:space="0" w:color="auto"/>
              </w:divBdr>
            </w:div>
            <w:div w:id="1175339388">
              <w:marLeft w:val="0"/>
              <w:marRight w:val="0"/>
              <w:marTop w:val="0"/>
              <w:marBottom w:val="0"/>
              <w:divBdr>
                <w:top w:val="none" w:sz="0" w:space="0" w:color="auto"/>
                <w:left w:val="none" w:sz="0" w:space="0" w:color="auto"/>
                <w:bottom w:val="none" w:sz="0" w:space="0" w:color="auto"/>
                <w:right w:val="none" w:sz="0" w:space="0" w:color="auto"/>
              </w:divBdr>
            </w:div>
            <w:div w:id="1484395295">
              <w:marLeft w:val="0"/>
              <w:marRight w:val="0"/>
              <w:marTop w:val="0"/>
              <w:marBottom w:val="0"/>
              <w:divBdr>
                <w:top w:val="none" w:sz="0" w:space="0" w:color="auto"/>
                <w:left w:val="none" w:sz="0" w:space="0" w:color="auto"/>
                <w:bottom w:val="none" w:sz="0" w:space="0" w:color="auto"/>
                <w:right w:val="none" w:sz="0" w:space="0" w:color="auto"/>
              </w:divBdr>
            </w:div>
          </w:divsChild>
        </w:div>
        <w:div w:id="533732337">
          <w:marLeft w:val="0"/>
          <w:marRight w:val="0"/>
          <w:marTop w:val="0"/>
          <w:marBottom w:val="0"/>
          <w:divBdr>
            <w:top w:val="none" w:sz="0" w:space="0" w:color="auto"/>
            <w:left w:val="none" w:sz="0" w:space="0" w:color="auto"/>
            <w:bottom w:val="none" w:sz="0" w:space="0" w:color="auto"/>
            <w:right w:val="none" w:sz="0" w:space="0" w:color="auto"/>
          </w:divBdr>
        </w:div>
        <w:div w:id="932005887">
          <w:marLeft w:val="0"/>
          <w:marRight w:val="0"/>
          <w:marTop w:val="0"/>
          <w:marBottom w:val="0"/>
          <w:divBdr>
            <w:top w:val="none" w:sz="0" w:space="0" w:color="auto"/>
            <w:left w:val="none" w:sz="0" w:space="0" w:color="auto"/>
            <w:bottom w:val="none" w:sz="0" w:space="0" w:color="auto"/>
            <w:right w:val="none" w:sz="0" w:space="0" w:color="auto"/>
          </w:divBdr>
          <w:divsChild>
            <w:div w:id="505680552">
              <w:marLeft w:val="0"/>
              <w:marRight w:val="0"/>
              <w:marTop w:val="0"/>
              <w:marBottom w:val="0"/>
              <w:divBdr>
                <w:top w:val="none" w:sz="0" w:space="0" w:color="auto"/>
                <w:left w:val="none" w:sz="0" w:space="0" w:color="auto"/>
                <w:bottom w:val="none" w:sz="0" w:space="0" w:color="auto"/>
                <w:right w:val="none" w:sz="0" w:space="0" w:color="auto"/>
              </w:divBdr>
            </w:div>
            <w:div w:id="844395270">
              <w:marLeft w:val="0"/>
              <w:marRight w:val="0"/>
              <w:marTop w:val="0"/>
              <w:marBottom w:val="0"/>
              <w:divBdr>
                <w:top w:val="none" w:sz="0" w:space="0" w:color="auto"/>
                <w:left w:val="none" w:sz="0" w:space="0" w:color="auto"/>
                <w:bottom w:val="none" w:sz="0" w:space="0" w:color="auto"/>
                <w:right w:val="none" w:sz="0" w:space="0" w:color="auto"/>
              </w:divBdr>
            </w:div>
            <w:div w:id="1501238495">
              <w:marLeft w:val="0"/>
              <w:marRight w:val="0"/>
              <w:marTop w:val="0"/>
              <w:marBottom w:val="0"/>
              <w:divBdr>
                <w:top w:val="none" w:sz="0" w:space="0" w:color="auto"/>
                <w:left w:val="none" w:sz="0" w:space="0" w:color="auto"/>
                <w:bottom w:val="none" w:sz="0" w:space="0" w:color="auto"/>
                <w:right w:val="none" w:sz="0" w:space="0" w:color="auto"/>
              </w:divBdr>
            </w:div>
            <w:div w:id="17459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69882">
      <w:bodyDiv w:val="1"/>
      <w:marLeft w:val="0"/>
      <w:marRight w:val="0"/>
      <w:marTop w:val="0"/>
      <w:marBottom w:val="0"/>
      <w:divBdr>
        <w:top w:val="none" w:sz="0" w:space="0" w:color="auto"/>
        <w:left w:val="none" w:sz="0" w:space="0" w:color="auto"/>
        <w:bottom w:val="none" w:sz="0" w:space="0" w:color="auto"/>
        <w:right w:val="none" w:sz="0" w:space="0" w:color="auto"/>
      </w:divBdr>
      <w:divsChild>
        <w:div w:id="352220942">
          <w:marLeft w:val="0"/>
          <w:marRight w:val="0"/>
          <w:marTop w:val="0"/>
          <w:marBottom w:val="0"/>
          <w:divBdr>
            <w:top w:val="none" w:sz="0" w:space="0" w:color="auto"/>
            <w:left w:val="none" w:sz="0" w:space="0" w:color="auto"/>
            <w:bottom w:val="none" w:sz="0" w:space="0" w:color="auto"/>
            <w:right w:val="none" w:sz="0" w:space="0" w:color="auto"/>
          </w:divBdr>
        </w:div>
        <w:div w:id="368605191">
          <w:marLeft w:val="0"/>
          <w:marRight w:val="0"/>
          <w:marTop w:val="0"/>
          <w:marBottom w:val="0"/>
          <w:divBdr>
            <w:top w:val="none" w:sz="0" w:space="0" w:color="auto"/>
            <w:left w:val="none" w:sz="0" w:space="0" w:color="auto"/>
            <w:bottom w:val="none" w:sz="0" w:space="0" w:color="auto"/>
            <w:right w:val="none" w:sz="0" w:space="0" w:color="auto"/>
          </w:divBdr>
        </w:div>
        <w:div w:id="481194523">
          <w:marLeft w:val="0"/>
          <w:marRight w:val="0"/>
          <w:marTop w:val="0"/>
          <w:marBottom w:val="0"/>
          <w:divBdr>
            <w:top w:val="none" w:sz="0" w:space="0" w:color="auto"/>
            <w:left w:val="none" w:sz="0" w:space="0" w:color="auto"/>
            <w:bottom w:val="none" w:sz="0" w:space="0" w:color="auto"/>
            <w:right w:val="none" w:sz="0" w:space="0" w:color="auto"/>
          </w:divBdr>
        </w:div>
        <w:div w:id="797065881">
          <w:marLeft w:val="0"/>
          <w:marRight w:val="0"/>
          <w:marTop w:val="0"/>
          <w:marBottom w:val="0"/>
          <w:divBdr>
            <w:top w:val="none" w:sz="0" w:space="0" w:color="auto"/>
            <w:left w:val="none" w:sz="0" w:space="0" w:color="auto"/>
            <w:bottom w:val="none" w:sz="0" w:space="0" w:color="auto"/>
            <w:right w:val="none" w:sz="0" w:space="0" w:color="auto"/>
          </w:divBdr>
        </w:div>
        <w:div w:id="1634166903">
          <w:marLeft w:val="0"/>
          <w:marRight w:val="0"/>
          <w:marTop w:val="0"/>
          <w:marBottom w:val="0"/>
          <w:divBdr>
            <w:top w:val="none" w:sz="0" w:space="0" w:color="auto"/>
            <w:left w:val="none" w:sz="0" w:space="0" w:color="auto"/>
            <w:bottom w:val="none" w:sz="0" w:space="0" w:color="auto"/>
            <w:right w:val="none" w:sz="0" w:space="0" w:color="auto"/>
          </w:divBdr>
        </w:div>
        <w:div w:id="1888301437">
          <w:marLeft w:val="0"/>
          <w:marRight w:val="0"/>
          <w:marTop w:val="0"/>
          <w:marBottom w:val="0"/>
          <w:divBdr>
            <w:top w:val="none" w:sz="0" w:space="0" w:color="auto"/>
            <w:left w:val="none" w:sz="0" w:space="0" w:color="auto"/>
            <w:bottom w:val="none" w:sz="0" w:space="0" w:color="auto"/>
            <w:right w:val="none" w:sz="0" w:space="0" w:color="auto"/>
          </w:divBdr>
        </w:div>
      </w:divsChild>
    </w:div>
    <w:div w:id="1057365276">
      <w:bodyDiv w:val="1"/>
      <w:marLeft w:val="0"/>
      <w:marRight w:val="0"/>
      <w:marTop w:val="0"/>
      <w:marBottom w:val="0"/>
      <w:divBdr>
        <w:top w:val="none" w:sz="0" w:space="0" w:color="auto"/>
        <w:left w:val="none" w:sz="0" w:space="0" w:color="auto"/>
        <w:bottom w:val="none" w:sz="0" w:space="0" w:color="auto"/>
        <w:right w:val="none" w:sz="0" w:space="0" w:color="auto"/>
      </w:divBdr>
      <w:divsChild>
        <w:div w:id="123349080">
          <w:marLeft w:val="0"/>
          <w:marRight w:val="0"/>
          <w:marTop w:val="0"/>
          <w:marBottom w:val="0"/>
          <w:divBdr>
            <w:top w:val="none" w:sz="0" w:space="0" w:color="auto"/>
            <w:left w:val="none" w:sz="0" w:space="0" w:color="auto"/>
            <w:bottom w:val="none" w:sz="0" w:space="0" w:color="auto"/>
            <w:right w:val="none" w:sz="0" w:space="0" w:color="auto"/>
          </w:divBdr>
          <w:divsChild>
            <w:div w:id="320238709">
              <w:marLeft w:val="0"/>
              <w:marRight w:val="0"/>
              <w:marTop w:val="0"/>
              <w:marBottom w:val="0"/>
              <w:divBdr>
                <w:top w:val="none" w:sz="0" w:space="0" w:color="auto"/>
                <w:left w:val="none" w:sz="0" w:space="0" w:color="auto"/>
                <w:bottom w:val="none" w:sz="0" w:space="0" w:color="auto"/>
                <w:right w:val="none" w:sz="0" w:space="0" w:color="auto"/>
              </w:divBdr>
            </w:div>
            <w:div w:id="1094596357">
              <w:marLeft w:val="0"/>
              <w:marRight w:val="0"/>
              <w:marTop w:val="0"/>
              <w:marBottom w:val="0"/>
              <w:divBdr>
                <w:top w:val="none" w:sz="0" w:space="0" w:color="auto"/>
                <w:left w:val="none" w:sz="0" w:space="0" w:color="auto"/>
                <w:bottom w:val="none" w:sz="0" w:space="0" w:color="auto"/>
                <w:right w:val="none" w:sz="0" w:space="0" w:color="auto"/>
              </w:divBdr>
            </w:div>
            <w:div w:id="1344864600">
              <w:marLeft w:val="0"/>
              <w:marRight w:val="0"/>
              <w:marTop w:val="0"/>
              <w:marBottom w:val="0"/>
              <w:divBdr>
                <w:top w:val="none" w:sz="0" w:space="0" w:color="auto"/>
                <w:left w:val="none" w:sz="0" w:space="0" w:color="auto"/>
                <w:bottom w:val="none" w:sz="0" w:space="0" w:color="auto"/>
                <w:right w:val="none" w:sz="0" w:space="0" w:color="auto"/>
              </w:divBdr>
            </w:div>
            <w:div w:id="1458139536">
              <w:marLeft w:val="0"/>
              <w:marRight w:val="0"/>
              <w:marTop w:val="0"/>
              <w:marBottom w:val="0"/>
              <w:divBdr>
                <w:top w:val="none" w:sz="0" w:space="0" w:color="auto"/>
                <w:left w:val="none" w:sz="0" w:space="0" w:color="auto"/>
                <w:bottom w:val="none" w:sz="0" w:space="0" w:color="auto"/>
                <w:right w:val="none" w:sz="0" w:space="0" w:color="auto"/>
              </w:divBdr>
            </w:div>
          </w:divsChild>
        </w:div>
        <w:div w:id="179198138">
          <w:marLeft w:val="0"/>
          <w:marRight w:val="0"/>
          <w:marTop w:val="0"/>
          <w:marBottom w:val="0"/>
          <w:divBdr>
            <w:top w:val="none" w:sz="0" w:space="0" w:color="auto"/>
            <w:left w:val="none" w:sz="0" w:space="0" w:color="auto"/>
            <w:bottom w:val="none" w:sz="0" w:space="0" w:color="auto"/>
            <w:right w:val="none" w:sz="0" w:space="0" w:color="auto"/>
          </w:divBdr>
          <w:divsChild>
            <w:div w:id="182326610">
              <w:marLeft w:val="0"/>
              <w:marRight w:val="0"/>
              <w:marTop w:val="0"/>
              <w:marBottom w:val="0"/>
              <w:divBdr>
                <w:top w:val="none" w:sz="0" w:space="0" w:color="auto"/>
                <w:left w:val="none" w:sz="0" w:space="0" w:color="auto"/>
                <w:bottom w:val="none" w:sz="0" w:space="0" w:color="auto"/>
                <w:right w:val="none" w:sz="0" w:space="0" w:color="auto"/>
              </w:divBdr>
            </w:div>
            <w:div w:id="1469515676">
              <w:marLeft w:val="0"/>
              <w:marRight w:val="0"/>
              <w:marTop w:val="0"/>
              <w:marBottom w:val="0"/>
              <w:divBdr>
                <w:top w:val="none" w:sz="0" w:space="0" w:color="auto"/>
                <w:left w:val="none" w:sz="0" w:space="0" w:color="auto"/>
                <w:bottom w:val="none" w:sz="0" w:space="0" w:color="auto"/>
                <w:right w:val="none" w:sz="0" w:space="0" w:color="auto"/>
              </w:divBdr>
            </w:div>
            <w:div w:id="1532574965">
              <w:marLeft w:val="0"/>
              <w:marRight w:val="0"/>
              <w:marTop w:val="0"/>
              <w:marBottom w:val="0"/>
              <w:divBdr>
                <w:top w:val="none" w:sz="0" w:space="0" w:color="auto"/>
                <w:left w:val="none" w:sz="0" w:space="0" w:color="auto"/>
                <w:bottom w:val="none" w:sz="0" w:space="0" w:color="auto"/>
                <w:right w:val="none" w:sz="0" w:space="0" w:color="auto"/>
              </w:divBdr>
            </w:div>
            <w:div w:id="2133934473">
              <w:marLeft w:val="0"/>
              <w:marRight w:val="0"/>
              <w:marTop w:val="0"/>
              <w:marBottom w:val="0"/>
              <w:divBdr>
                <w:top w:val="none" w:sz="0" w:space="0" w:color="auto"/>
                <w:left w:val="none" w:sz="0" w:space="0" w:color="auto"/>
                <w:bottom w:val="none" w:sz="0" w:space="0" w:color="auto"/>
                <w:right w:val="none" w:sz="0" w:space="0" w:color="auto"/>
              </w:divBdr>
            </w:div>
          </w:divsChild>
        </w:div>
        <w:div w:id="197281212">
          <w:marLeft w:val="0"/>
          <w:marRight w:val="0"/>
          <w:marTop w:val="0"/>
          <w:marBottom w:val="0"/>
          <w:divBdr>
            <w:top w:val="none" w:sz="0" w:space="0" w:color="auto"/>
            <w:left w:val="none" w:sz="0" w:space="0" w:color="auto"/>
            <w:bottom w:val="none" w:sz="0" w:space="0" w:color="auto"/>
            <w:right w:val="none" w:sz="0" w:space="0" w:color="auto"/>
          </w:divBdr>
          <w:divsChild>
            <w:div w:id="209342813">
              <w:marLeft w:val="-75"/>
              <w:marRight w:val="0"/>
              <w:marTop w:val="30"/>
              <w:marBottom w:val="30"/>
              <w:divBdr>
                <w:top w:val="none" w:sz="0" w:space="0" w:color="auto"/>
                <w:left w:val="none" w:sz="0" w:space="0" w:color="auto"/>
                <w:bottom w:val="none" w:sz="0" w:space="0" w:color="auto"/>
                <w:right w:val="none" w:sz="0" w:space="0" w:color="auto"/>
              </w:divBdr>
              <w:divsChild>
                <w:div w:id="199515500">
                  <w:marLeft w:val="0"/>
                  <w:marRight w:val="0"/>
                  <w:marTop w:val="0"/>
                  <w:marBottom w:val="0"/>
                  <w:divBdr>
                    <w:top w:val="none" w:sz="0" w:space="0" w:color="auto"/>
                    <w:left w:val="none" w:sz="0" w:space="0" w:color="auto"/>
                    <w:bottom w:val="none" w:sz="0" w:space="0" w:color="auto"/>
                    <w:right w:val="none" w:sz="0" w:space="0" w:color="auto"/>
                  </w:divBdr>
                  <w:divsChild>
                    <w:div w:id="1300844743">
                      <w:marLeft w:val="0"/>
                      <w:marRight w:val="0"/>
                      <w:marTop w:val="0"/>
                      <w:marBottom w:val="0"/>
                      <w:divBdr>
                        <w:top w:val="none" w:sz="0" w:space="0" w:color="auto"/>
                        <w:left w:val="none" w:sz="0" w:space="0" w:color="auto"/>
                        <w:bottom w:val="none" w:sz="0" w:space="0" w:color="auto"/>
                        <w:right w:val="none" w:sz="0" w:space="0" w:color="auto"/>
                      </w:divBdr>
                    </w:div>
                  </w:divsChild>
                </w:div>
                <w:div w:id="1056398675">
                  <w:marLeft w:val="0"/>
                  <w:marRight w:val="0"/>
                  <w:marTop w:val="0"/>
                  <w:marBottom w:val="0"/>
                  <w:divBdr>
                    <w:top w:val="none" w:sz="0" w:space="0" w:color="auto"/>
                    <w:left w:val="none" w:sz="0" w:space="0" w:color="auto"/>
                    <w:bottom w:val="none" w:sz="0" w:space="0" w:color="auto"/>
                    <w:right w:val="none" w:sz="0" w:space="0" w:color="auto"/>
                  </w:divBdr>
                  <w:divsChild>
                    <w:div w:id="1598171414">
                      <w:marLeft w:val="0"/>
                      <w:marRight w:val="0"/>
                      <w:marTop w:val="0"/>
                      <w:marBottom w:val="0"/>
                      <w:divBdr>
                        <w:top w:val="none" w:sz="0" w:space="0" w:color="auto"/>
                        <w:left w:val="none" w:sz="0" w:space="0" w:color="auto"/>
                        <w:bottom w:val="none" w:sz="0" w:space="0" w:color="auto"/>
                        <w:right w:val="none" w:sz="0" w:space="0" w:color="auto"/>
                      </w:divBdr>
                    </w:div>
                  </w:divsChild>
                </w:div>
                <w:div w:id="1594391203">
                  <w:marLeft w:val="0"/>
                  <w:marRight w:val="0"/>
                  <w:marTop w:val="0"/>
                  <w:marBottom w:val="0"/>
                  <w:divBdr>
                    <w:top w:val="none" w:sz="0" w:space="0" w:color="auto"/>
                    <w:left w:val="none" w:sz="0" w:space="0" w:color="auto"/>
                    <w:bottom w:val="none" w:sz="0" w:space="0" w:color="auto"/>
                    <w:right w:val="none" w:sz="0" w:space="0" w:color="auto"/>
                  </w:divBdr>
                  <w:divsChild>
                    <w:div w:id="430665054">
                      <w:marLeft w:val="0"/>
                      <w:marRight w:val="0"/>
                      <w:marTop w:val="0"/>
                      <w:marBottom w:val="0"/>
                      <w:divBdr>
                        <w:top w:val="none" w:sz="0" w:space="0" w:color="auto"/>
                        <w:left w:val="none" w:sz="0" w:space="0" w:color="auto"/>
                        <w:bottom w:val="none" w:sz="0" w:space="0" w:color="auto"/>
                        <w:right w:val="none" w:sz="0" w:space="0" w:color="auto"/>
                      </w:divBdr>
                    </w:div>
                  </w:divsChild>
                </w:div>
                <w:div w:id="1674139225">
                  <w:marLeft w:val="0"/>
                  <w:marRight w:val="0"/>
                  <w:marTop w:val="0"/>
                  <w:marBottom w:val="0"/>
                  <w:divBdr>
                    <w:top w:val="none" w:sz="0" w:space="0" w:color="auto"/>
                    <w:left w:val="none" w:sz="0" w:space="0" w:color="auto"/>
                    <w:bottom w:val="none" w:sz="0" w:space="0" w:color="auto"/>
                    <w:right w:val="none" w:sz="0" w:space="0" w:color="auto"/>
                  </w:divBdr>
                  <w:divsChild>
                    <w:div w:id="840700558">
                      <w:marLeft w:val="0"/>
                      <w:marRight w:val="0"/>
                      <w:marTop w:val="0"/>
                      <w:marBottom w:val="0"/>
                      <w:divBdr>
                        <w:top w:val="none" w:sz="0" w:space="0" w:color="auto"/>
                        <w:left w:val="none" w:sz="0" w:space="0" w:color="auto"/>
                        <w:bottom w:val="none" w:sz="0" w:space="0" w:color="auto"/>
                        <w:right w:val="none" w:sz="0" w:space="0" w:color="auto"/>
                      </w:divBdr>
                    </w:div>
                  </w:divsChild>
                </w:div>
                <w:div w:id="1725790494">
                  <w:marLeft w:val="0"/>
                  <w:marRight w:val="0"/>
                  <w:marTop w:val="0"/>
                  <w:marBottom w:val="0"/>
                  <w:divBdr>
                    <w:top w:val="none" w:sz="0" w:space="0" w:color="auto"/>
                    <w:left w:val="none" w:sz="0" w:space="0" w:color="auto"/>
                    <w:bottom w:val="none" w:sz="0" w:space="0" w:color="auto"/>
                    <w:right w:val="none" w:sz="0" w:space="0" w:color="auto"/>
                  </w:divBdr>
                  <w:divsChild>
                    <w:div w:id="1843004078">
                      <w:marLeft w:val="0"/>
                      <w:marRight w:val="0"/>
                      <w:marTop w:val="0"/>
                      <w:marBottom w:val="0"/>
                      <w:divBdr>
                        <w:top w:val="none" w:sz="0" w:space="0" w:color="auto"/>
                        <w:left w:val="none" w:sz="0" w:space="0" w:color="auto"/>
                        <w:bottom w:val="none" w:sz="0" w:space="0" w:color="auto"/>
                        <w:right w:val="none" w:sz="0" w:space="0" w:color="auto"/>
                      </w:divBdr>
                    </w:div>
                  </w:divsChild>
                </w:div>
                <w:div w:id="2124811097">
                  <w:marLeft w:val="0"/>
                  <w:marRight w:val="0"/>
                  <w:marTop w:val="0"/>
                  <w:marBottom w:val="0"/>
                  <w:divBdr>
                    <w:top w:val="none" w:sz="0" w:space="0" w:color="auto"/>
                    <w:left w:val="none" w:sz="0" w:space="0" w:color="auto"/>
                    <w:bottom w:val="none" w:sz="0" w:space="0" w:color="auto"/>
                    <w:right w:val="none" w:sz="0" w:space="0" w:color="auto"/>
                  </w:divBdr>
                  <w:divsChild>
                    <w:div w:id="10626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4704">
          <w:marLeft w:val="0"/>
          <w:marRight w:val="0"/>
          <w:marTop w:val="0"/>
          <w:marBottom w:val="0"/>
          <w:divBdr>
            <w:top w:val="none" w:sz="0" w:space="0" w:color="auto"/>
            <w:left w:val="none" w:sz="0" w:space="0" w:color="auto"/>
            <w:bottom w:val="none" w:sz="0" w:space="0" w:color="auto"/>
            <w:right w:val="none" w:sz="0" w:space="0" w:color="auto"/>
          </w:divBdr>
        </w:div>
        <w:div w:id="484200685">
          <w:marLeft w:val="0"/>
          <w:marRight w:val="0"/>
          <w:marTop w:val="0"/>
          <w:marBottom w:val="0"/>
          <w:divBdr>
            <w:top w:val="none" w:sz="0" w:space="0" w:color="auto"/>
            <w:left w:val="none" w:sz="0" w:space="0" w:color="auto"/>
            <w:bottom w:val="none" w:sz="0" w:space="0" w:color="auto"/>
            <w:right w:val="none" w:sz="0" w:space="0" w:color="auto"/>
          </w:divBdr>
        </w:div>
        <w:div w:id="653799363">
          <w:marLeft w:val="0"/>
          <w:marRight w:val="0"/>
          <w:marTop w:val="0"/>
          <w:marBottom w:val="0"/>
          <w:divBdr>
            <w:top w:val="none" w:sz="0" w:space="0" w:color="auto"/>
            <w:left w:val="none" w:sz="0" w:space="0" w:color="auto"/>
            <w:bottom w:val="none" w:sz="0" w:space="0" w:color="auto"/>
            <w:right w:val="none" w:sz="0" w:space="0" w:color="auto"/>
          </w:divBdr>
        </w:div>
        <w:div w:id="857960865">
          <w:marLeft w:val="0"/>
          <w:marRight w:val="0"/>
          <w:marTop w:val="0"/>
          <w:marBottom w:val="0"/>
          <w:divBdr>
            <w:top w:val="none" w:sz="0" w:space="0" w:color="auto"/>
            <w:left w:val="none" w:sz="0" w:space="0" w:color="auto"/>
            <w:bottom w:val="none" w:sz="0" w:space="0" w:color="auto"/>
            <w:right w:val="none" w:sz="0" w:space="0" w:color="auto"/>
          </w:divBdr>
        </w:div>
        <w:div w:id="923877925">
          <w:marLeft w:val="0"/>
          <w:marRight w:val="0"/>
          <w:marTop w:val="0"/>
          <w:marBottom w:val="0"/>
          <w:divBdr>
            <w:top w:val="none" w:sz="0" w:space="0" w:color="auto"/>
            <w:left w:val="none" w:sz="0" w:space="0" w:color="auto"/>
            <w:bottom w:val="none" w:sz="0" w:space="0" w:color="auto"/>
            <w:right w:val="none" w:sz="0" w:space="0" w:color="auto"/>
          </w:divBdr>
        </w:div>
        <w:div w:id="1061291597">
          <w:marLeft w:val="0"/>
          <w:marRight w:val="0"/>
          <w:marTop w:val="0"/>
          <w:marBottom w:val="0"/>
          <w:divBdr>
            <w:top w:val="none" w:sz="0" w:space="0" w:color="auto"/>
            <w:left w:val="none" w:sz="0" w:space="0" w:color="auto"/>
            <w:bottom w:val="none" w:sz="0" w:space="0" w:color="auto"/>
            <w:right w:val="none" w:sz="0" w:space="0" w:color="auto"/>
          </w:divBdr>
        </w:div>
        <w:div w:id="1279146048">
          <w:marLeft w:val="0"/>
          <w:marRight w:val="0"/>
          <w:marTop w:val="0"/>
          <w:marBottom w:val="0"/>
          <w:divBdr>
            <w:top w:val="none" w:sz="0" w:space="0" w:color="auto"/>
            <w:left w:val="none" w:sz="0" w:space="0" w:color="auto"/>
            <w:bottom w:val="none" w:sz="0" w:space="0" w:color="auto"/>
            <w:right w:val="none" w:sz="0" w:space="0" w:color="auto"/>
          </w:divBdr>
        </w:div>
        <w:div w:id="1419524990">
          <w:marLeft w:val="0"/>
          <w:marRight w:val="0"/>
          <w:marTop w:val="0"/>
          <w:marBottom w:val="0"/>
          <w:divBdr>
            <w:top w:val="none" w:sz="0" w:space="0" w:color="auto"/>
            <w:left w:val="none" w:sz="0" w:space="0" w:color="auto"/>
            <w:bottom w:val="none" w:sz="0" w:space="0" w:color="auto"/>
            <w:right w:val="none" w:sz="0" w:space="0" w:color="auto"/>
          </w:divBdr>
        </w:div>
        <w:div w:id="1450320599">
          <w:marLeft w:val="0"/>
          <w:marRight w:val="0"/>
          <w:marTop w:val="0"/>
          <w:marBottom w:val="0"/>
          <w:divBdr>
            <w:top w:val="none" w:sz="0" w:space="0" w:color="auto"/>
            <w:left w:val="none" w:sz="0" w:space="0" w:color="auto"/>
            <w:bottom w:val="none" w:sz="0" w:space="0" w:color="auto"/>
            <w:right w:val="none" w:sz="0" w:space="0" w:color="auto"/>
          </w:divBdr>
        </w:div>
        <w:div w:id="1679186828">
          <w:marLeft w:val="0"/>
          <w:marRight w:val="0"/>
          <w:marTop w:val="0"/>
          <w:marBottom w:val="0"/>
          <w:divBdr>
            <w:top w:val="none" w:sz="0" w:space="0" w:color="auto"/>
            <w:left w:val="none" w:sz="0" w:space="0" w:color="auto"/>
            <w:bottom w:val="none" w:sz="0" w:space="0" w:color="auto"/>
            <w:right w:val="none" w:sz="0" w:space="0" w:color="auto"/>
          </w:divBdr>
        </w:div>
        <w:div w:id="1882865872">
          <w:marLeft w:val="0"/>
          <w:marRight w:val="0"/>
          <w:marTop w:val="0"/>
          <w:marBottom w:val="0"/>
          <w:divBdr>
            <w:top w:val="none" w:sz="0" w:space="0" w:color="auto"/>
            <w:left w:val="none" w:sz="0" w:space="0" w:color="auto"/>
            <w:bottom w:val="none" w:sz="0" w:space="0" w:color="auto"/>
            <w:right w:val="none" w:sz="0" w:space="0" w:color="auto"/>
          </w:divBdr>
        </w:div>
        <w:div w:id="2099329371">
          <w:marLeft w:val="0"/>
          <w:marRight w:val="0"/>
          <w:marTop w:val="0"/>
          <w:marBottom w:val="0"/>
          <w:divBdr>
            <w:top w:val="none" w:sz="0" w:space="0" w:color="auto"/>
            <w:left w:val="none" w:sz="0" w:space="0" w:color="auto"/>
            <w:bottom w:val="none" w:sz="0" w:space="0" w:color="auto"/>
            <w:right w:val="none" w:sz="0" w:space="0" w:color="auto"/>
          </w:divBdr>
        </w:div>
      </w:divsChild>
    </w:div>
    <w:div w:id="1081364776">
      <w:bodyDiv w:val="1"/>
      <w:marLeft w:val="0"/>
      <w:marRight w:val="0"/>
      <w:marTop w:val="0"/>
      <w:marBottom w:val="0"/>
      <w:divBdr>
        <w:top w:val="none" w:sz="0" w:space="0" w:color="auto"/>
        <w:left w:val="none" w:sz="0" w:space="0" w:color="auto"/>
        <w:bottom w:val="none" w:sz="0" w:space="0" w:color="auto"/>
        <w:right w:val="none" w:sz="0" w:space="0" w:color="auto"/>
      </w:divBdr>
      <w:divsChild>
        <w:div w:id="17200502">
          <w:marLeft w:val="0"/>
          <w:marRight w:val="0"/>
          <w:marTop w:val="0"/>
          <w:marBottom w:val="0"/>
          <w:divBdr>
            <w:top w:val="none" w:sz="0" w:space="0" w:color="auto"/>
            <w:left w:val="none" w:sz="0" w:space="0" w:color="auto"/>
            <w:bottom w:val="none" w:sz="0" w:space="0" w:color="auto"/>
            <w:right w:val="none" w:sz="0" w:space="0" w:color="auto"/>
          </w:divBdr>
        </w:div>
        <w:div w:id="106584121">
          <w:marLeft w:val="0"/>
          <w:marRight w:val="0"/>
          <w:marTop w:val="0"/>
          <w:marBottom w:val="0"/>
          <w:divBdr>
            <w:top w:val="none" w:sz="0" w:space="0" w:color="auto"/>
            <w:left w:val="none" w:sz="0" w:space="0" w:color="auto"/>
            <w:bottom w:val="none" w:sz="0" w:space="0" w:color="auto"/>
            <w:right w:val="none" w:sz="0" w:space="0" w:color="auto"/>
          </w:divBdr>
        </w:div>
        <w:div w:id="211582011">
          <w:marLeft w:val="0"/>
          <w:marRight w:val="0"/>
          <w:marTop w:val="0"/>
          <w:marBottom w:val="0"/>
          <w:divBdr>
            <w:top w:val="none" w:sz="0" w:space="0" w:color="auto"/>
            <w:left w:val="none" w:sz="0" w:space="0" w:color="auto"/>
            <w:bottom w:val="none" w:sz="0" w:space="0" w:color="auto"/>
            <w:right w:val="none" w:sz="0" w:space="0" w:color="auto"/>
          </w:divBdr>
        </w:div>
        <w:div w:id="383985065">
          <w:marLeft w:val="0"/>
          <w:marRight w:val="0"/>
          <w:marTop w:val="0"/>
          <w:marBottom w:val="0"/>
          <w:divBdr>
            <w:top w:val="none" w:sz="0" w:space="0" w:color="auto"/>
            <w:left w:val="none" w:sz="0" w:space="0" w:color="auto"/>
            <w:bottom w:val="none" w:sz="0" w:space="0" w:color="auto"/>
            <w:right w:val="none" w:sz="0" w:space="0" w:color="auto"/>
          </w:divBdr>
        </w:div>
        <w:div w:id="517156904">
          <w:marLeft w:val="0"/>
          <w:marRight w:val="0"/>
          <w:marTop w:val="0"/>
          <w:marBottom w:val="0"/>
          <w:divBdr>
            <w:top w:val="none" w:sz="0" w:space="0" w:color="auto"/>
            <w:left w:val="none" w:sz="0" w:space="0" w:color="auto"/>
            <w:bottom w:val="none" w:sz="0" w:space="0" w:color="auto"/>
            <w:right w:val="none" w:sz="0" w:space="0" w:color="auto"/>
          </w:divBdr>
        </w:div>
        <w:div w:id="581179732">
          <w:marLeft w:val="0"/>
          <w:marRight w:val="0"/>
          <w:marTop w:val="0"/>
          <w:marBottom w:val="0"/>
          <w:divBdr>
            <w:top w:val="none" w:sz="0" w:space="0" w:color="auto"/>
            <w:left w:val="none" w:sz="0" w:space="0" w:color="auto"/>
            <w:bottom w:val="none" w:sz="0" w:space="0" w:color="auto"/>
            <w:right w:val="none" w:sz="0" w:space="0" w:color="auto"/>
          </w:divBdr>
        </w:div>
        <w:div w:id="638730575">
          <w:marLeft w:val="0"/>
          <w:marRight w:val="0"/>
          <w:marTop w:val="0"/>
          <w:marBottom w:val="0"/>
          <w:divBdr>
            <w:top w:val="none" w:sz="0" w:space="0" w:color="auto"/>
            <w:left w:val="none" w:sz="0" w:space="0" w:color="auto"/>
            <w:bottom w:val="none" w:sz="0" w:space="0" w:color="auto"/>
            <w:right w:val="none" w:sz="0" w:space="0" w:color="auto"/>
          </w:divBdr>
        </w:div>
        <w:div w:id="1026447678">
          <w:marLeft w:val="0"/>
          <w:marRight w:val="0"/>
          <w:marTop w:val="0"/>
          <w:marBottom w:val="0"/>
          <w:divBdr>
            <w:top w:val="none" w:sz="0" w:space="0" w:color="auto"/>
            <w:left w:val="none" w:sz="0" w:space="0" w:color="auto"/>
            <w:bottom w:val="none" w:sz="0" w:space="0" w:color="auto"/>
            <w:right w:val="none" w:sz="0" w:space="0" w:color="auto"/>
          </w:divBdr>
        </w:div>
        <w:div w:id="1179001625">
          <w:marLeft w:val="0"/>
          <w:marRight w:val="0"/>
          <w:marTop w:val="0"/>
          <w:marBottom w:val="0"/>
          <w:divBdr>
            <w:top w:val="none" w:sz="0" w:space="0" w:color="auto"/>
            <w:left w:val="none" w:sz="0" w:space="0" w:color="auto"/>
            <w:bottom w:val="none" w:sz="0" w:space="0" w:color="auto"/>
            <w:right w:val="none" w:sz="0" w:space="0" w:color="auto"/>
          </w:divBdr>
        </w:div>
        <w:div w:id="1481144997">
          <w:marLeft w:val="0"/>
          <w:marRight w:val="0"/>
          <w:marTop w:val="0"/>
          <w:marBottom w:val="0"/>
          <w:divBdr>
            <w:top w:val="none" w:sz="0" w:space="0" w:color="auto"/>
            <w:left w:val="none" w:sz="0" w:space="0" w:color="auto"/>
            <w:bottom w:val="none" w:sz="0" w:space="0" w:color="auto"/>
            <w:right w:val="none" w:sz="0" w:space="0" w:color="auto"/>
          </w:divBdr>
        </w:div>
        <w:div w:id="1588612836">
          <w:marLeft w:val="0"/>
          <w:marRight w:val="0"/>
          <w:marTop w:val="0"/>
          <w:marBottom w:val="0"/>
          <w:divBdr>
            <w:top w:val="none" w:sz="0" w:space="0" w:color="auto"/>
            <w:left w:val="none" w:sz="0" w:space="0" w:color="auto"/>
            <w:bottom w:val="none" w:sz="0" w:space="0" w:color="auto"/>
            <w:right w:val="none" w:sz="0" w:space="0" w:color="auto"/>
          </w:divBdr>
        </w:div>
      </w:divsChild>
    </w:div>
    <w:div w:id="1103839667">
      <w:bodyDiv w:val="1"/>
      <w:marLeft w:val="0"/>
      <w:marRight w:val="0"/>
      <w:marTop w:val="0"/>
      <w:marBottom w:val="0"/>
      <w:divBdr>
        <w:top w:val="none" w:sz="0" w:space="0" w:color="auto"/>
        <w:left w:val="none" w:sz="0" w:space="0" w:color="auto"/>
        <w:bottom w:val="none" w:sz="0" w:space="0" w:color="auto"/>
        <w:right w:val="none" w:sz="0" w:space="0" w:color="auto"/>
      </w:divBdr>
      <w:divsChild>
        <w:div w:id="843782255">
          <w:marLeft w:val="0"/>
          <w:marRight w:val="0"/>
          <w:marTop w:val="0"/>
          <w:marBottom w:val="0"/>
          <w:divBdr>
            <w:top w:val="none" w:sz="0" w:space="0" w:color="auto"/>
            <w:left w:val="none" w:sz="0" w:space="0" w:color="auto"/>
            <w:bottom w:val="none" w:sz="0" w:space="0" w:color="auto"/>
            <w:right w:val="none" w:sz="0" w:space="0" w:color="auto"/>
          </w:divBdr>
          <w:divsChild>
            <w:div w:id="507184758">
              <w:marLeft w:val="0"/>
              <w:marRight w:val="0"/>
              <w:marTop w:val="0"/>
              <w:marBottom w:val="0"/>
              <w:divBdr>
                <w:top w:val="none" w:sz="0" w:space="0" w:color="auto"/>
                <w:left w:val="none" w:sz="0" w:space="0" w:color="auto"/>
                <w:bottom w:val="none" w:sz="0" w:space="0" w:color="auto"/>
                <w:right w:val="none" w:sz="0" w:space="0" w:color="auto"/>
              </w:divBdr>
            </w:div>
            <w:div w:id="1265579211">
              <w:marLeft w:val="0"/>
              <w:marRight w:val="0"/>
              <w:marTop w:val="0"/>
              <w:marBottom w:val="0"/>
              <w:divBdr>
                <w:top w:val="none" w:sz="0" w:space="0" w:color="auto"/>
                <w:left w:val="none" w:sz="0" w:space="0" w:color="auto"/>
                <w:bottom w:val="none" w:sz="0" w:space="0" w:color="auto"/>
                <w:right w:val="none" w:sz="0" w:space="0" w:color="auto"/>
              </w:divBdr>
            </w:div>
            <w:div w:id="1781561918">
              <w:marLeft w:val="0"/>
              <w:marRight w:val="0"/>
              <w:marTop w:val="0"/>
              <w:marBottom w:val="0"/>
              <w:divBdr>
                <w:top w:val="none" w:sz="0" w:space="0" w:color="auto"/>
                <w:left w:val="none" w:sz="0" w:space="0" w:color="auto"/>
                <w:bottom w:val="none" w:sz="0" w:space="0" w:color="auto"/>
                <w:right w:val="none" w:sz="0" w:space="0" w:color="auto"/>
              </w:divBdr>
            </w:div>
            <w:div w:id="2052875846">
              <w:marLeft w:val="0"/>
              <w:marRight w:val="0"/>
              <w:marTop w:val="0"/>
              <w:marBottom w:val="0"/>
              <w:divBdr>
                <w:top w:val="none" w:sz="0" w:space="0" w:color="auto"/>
                <w:left w:val="none" w:sz="0" w:space="0" w:color="auto"/>
                <w:bottom w:val="none" w:sz="0" w:space="0" w:color="auto"/>
                <w:right w:val="none" w:sz="0" w:space="0" w:color="auto"/>
              </w:divBdr>
            </w:div>
          </w:divsChild>
        </w:div>
        <w:div w:id="993920491">
          <w:marLeft w:val="0"/>
          <w:marRight w:val="0"/>
          <w:marTop w:val="0"/>
          <w:marBottom w:val="0"/>
          <w:divBdr>
            <w:top w:val="none" w:sz="0" w:space="0" w:color="auto"/>
            <w:left w:val="none" w:sz="0" w:space="0" w:color="auto"/>
            <w:bottom w:val="none" w:sz="0" w:space="0" w:color="auto"/>
            <w:right w:val="none" w:sz="0" w:space="0" w:color="auto"/>
          </w:divBdr>
        </w:div>
        <w:div w:id="1231380508">
          <w:marLeft w:val="0"/>
          <w:marRight w:val="0"/>
          <w:marTop w:val="0"/>
          <w:marBottom w:val="0"/>
          <w:divBdr>
            <w:top w:val="none" w:sz="0" w:space="0" w:color="auto"/>
            <w:left w:val="none" w:sz="0" w:space="0" w:color="auto"/>
            <w:bottom w:val="none" w:sz="0" w:space="0" w:color="auto"/>
            <w:right w:val="none" w:sz="0" w:space="0" w:color="auto"/>
          </w:divBdr>
          <w:divsChild>
            <w:div w:id="873345616">
              <w:marLeft w:val="0"/>
              <w:marRight w:val="0"/>
              <w:marTop w:val="0"/>
              <w:marBottom w:val="0"/>
              <w:divBdr>
                <w:top w:val="none" w:sz="0" w:space="0" w:color="auto"/>
                <w:left w:val="none" w:sz="0" w:space="0" w:color="auto"/>
                <w:bottom w:val="none" w:sz="0" w:space="0" w:color="auto"/>
                <w:right w:val="none" w:sz="0" w:space="0" w:color="auto"/>
              </w:divBdr>
            </w:div>
            <w:div w:id="876158712">
              <w:marLeft w:val="0"/>
              <w:marRight w:val="0"/>
              <w:marTop w:val="0"/>
              <w:marBottom w:val="0"/>
              <w:divBdr>
                <w:top w:val="none" w:sz="0" w:space="0" w:color="auto"/>
                <w:left w:val="none" w:sz="0" w:space="0" w:color="auto"/>
                <w:bottom w:val="none" w:sz="0" w:space="0" w:color="auto"/>
                <w:right w:val="none" w:sz="0" w:space="0" w:color="auto"/>
              </w:divBdr>
            </w:div>
            <w:div w:id="2041853430">
              <w:marLeft w:val="0"/>
              <w:marRight w:val="0"/>
              <w:marTop w:val="0"/>
              <w:marBottom w:val="0"/>
              <w:divBdr>
                <w:top w:val="none" w:sz="0" w:space="0" w:color="auto"/>
                <w:left w:val="none" w:sz="0" w:space="0" w:color="auto"/>
                <w:bottom w:val="none" w:sz="0" w:space="0" w:color="auto"/>
                <w:right w:val="none" w:sz="0" w:space="0" w:color="auto"/>
              </w:divBdr>
            </w:div>
          </w:divsChild>
        </w:div>
        <w:div w:id="1939361879">
          <w:marLeft w:val="0"/>
          <w:marRight w:val="0"/>
          <w:marTop w:val="0"/>
          <w:marBottom w:val="0"/>
          <w:divBdr>
            <w:top w:val="none" w:sz="0" w:space="0" w:color="auto"/>
            <w:left w:val="none" w:sz="0" w:space="0" w:color="auto"/>
            <w:bottom w:val="none" w:sz="0" w:space="0" w:color="auto"/>
            <w:right w:val="none" w:sz="0" w:space="0" w:color="auto"/>
          </w:divBdr>
        </w:div>
      </w:divsChild>
    </w:div>
    <w:div w:id="1149588983">
      <w:bodyDiv w:val="1"/>
      <w:marLeft w:val="0"/>
      <w:marRight w:val="0"/>
      <w:marTop w:val="0"/>
      <w:marBottom w:val="0"/>
      <w:divBdr>
        <w:top w:val="none" w:sz="0" w:space="0" w:color="auto"/>
        <w:left w:val="none" w:sz="0" w:space="0" w:color="auto"/>
        <w:bottom w:val="none" w:sz="0" w:space="0" w:color="auto"/>
        <w:right w:val="none" w:sz="0" w:space="0" w:color="auto"/>
      </w:divBdr>
      <w:divsChild>
        <w:div w:id="127820074">
          <w:marLeft w:val="0"/>
          <w:marRight w:val="0"/>
          <w:marTop w:val="0"/>
          <w:marBottom w:val="0"/>
          <w:divBdr>
            <w:top w:val="none" w:sz="0" w:space="0" w:color="auto"/>
            <w:left w:val="none" w:sz="0" w:space="0" w:color="auto"/>
            <w:bottom w:val="none" w:sz="0" w:space="0" w:color="auto"/>
            <w:right w:val="none" w:sz="0" w:space="0" w:color="auto"/>
          </w:divBdr>
        </w:div>
        <w:div w:id="619606426">
          <w:marLeft w:val="0"/>
          <w:marRight w:val="0"/>
          <w:marTop w:val="0"/>
          <w:marBottom w:val="0"/>
          <w:divBdr>
            <w:top w:val="none" w:sz="0" w:space="0" w:color="auto"/>
            <w:left w:val="none" w:sz="0" w:space="0" w:color="auto"/>
            <w:bottom w:val="none" w:sz="0" w:space="0" w:color="auto"/>
            <w:right w:val="none" w:sz="0" w:space="0" w:color="auto"/>
          </w:divBdr>
        </w:div>
        <w:div w:id="962073934">
          <w:marLeft w:val="0"/>
          <w:marRight w:val="0"/>
          <w:marTop w:val="0"/>
          <w:marBottom w:val="0"/>
          <w:divBdr>
            <w:top w:val="none" w:sz="0" w:space="0" w:color="auto"/>
            <w:left w:val="none" w:sz="0" w:space="0" w:color="auto"/>
            <w:bottom w:val="none" w:sz="0" w:space="0" w:color="auto"/>
            <w:right w:val="none" w:sz="0" w:space="0" w:color="auto"/>
          </w:divBdr>
        </w:div>
        <w:div w:id="1040857901">
          <w:marLeft w:val="0"/>
          <w:marRight w:val="0"/>
          <w:marTop w:val="0"/>
          <w:marBottom w:val="0"/>
          <w:divBdr>
            <w:top w:val="none" w:sz="0" w:space="0" w:color="auto"/>
            <w:left w:val="none" w:sz="0" w:space="0" w:color="auto"/>
            <w:bottom w:val="none" w:sz="0" w:space="0" w:color="auto"/>
            <w:right w:val="none" w:sz="0" w:space="0" w:color="auto"/>
          </w:divBdr>
        </w:div>
        <w:div w:id="1414087788">
          <w:marLeft w:val="0"/>
          <w:marRight w:val="0"/>
          <w:marTop w:val="0"/>
          <w:marBottom w:val="0"/>
          <w:divBdr>
            <w:top w:val="none" w:sz="0" w:space="0" w:color="auto"/>
            <w:left w:val="none" w:sz="0" w:space="0" w:color="auto"/>
            <w:bottom w:val="none" w:sz="0" w:space="0" w:color="auto"/>
            <w:right w:val="none" w:sz="0" w:space="0" w:color="auto"/>
          </w:divBdr>
        </w:div>
        <w:div w:id="1489324638">
          <w:marLeft w:val="0"/>
          <w:marRight w:val="0"/>
          <w:marTop w:val="0"/>
          <w:marBottom w:val="0"/>
          <w:divBdr>
            <w:top w:val="none" w:sz="0" w:space="0" w:color="auto"/>
            <w:left w:val="none" w:sz="0" w:space="0" w:color="auto"/>
            <w:bottom w:val="none" w:sz="0" w:space="0" w:color="auto"/>
            <w:right w:val="none" w:sz="0" w:space="0" w:color="auto"/>
          </w:divBdr>
        </w:div>
        <w:div w:id="1897469614">
          <w:marLeft w:val="0"/>
          <w:marRight w:val="0"/>
          <w:marTop w:val="0"/>
          <w:marBottom w:val="0"/>
          <w:divBdr>
            <w:top w:val="none" w:sz="0" w:space="0" w:color="auto"/>
            <w:left w:val="none" w:sz="0" w:space="0" w:color="auto"/>
            <w:bottom w:val="none" w:sz="0" w:space="0" w:color="auto"/>
            <w:right w:val="none" w:sz="0" w:space="0" w:color="auto"/>
          </w:divBdr>
        </w:div>
      </w:divsChild>
    </w:div>
    <w:div w:id="1150828864">
      <w:bodyDiv w:val="1"/>
      <w:marLeft w:val="0"/>
      <w:marRight w:val="0"/>
      <w:marTop w:val="0"/>
      <w:marBottom w:val="0"/>
      <w:divBdr>
        <w:top w:val="none" w:sz="0" w:space="0" w:color="auto"/>
        <w:left w:val="none" w:sz="0" w:space="0" w:color="auto"/>
        <w:bottom w:val="none" w:sz="0" w:space="0" w:color="auto"/>
        <w:right w:val="none" w:sz="0" w:space="0" w:color="auto"/>
      </w:divBdr>
      <w:divsChild>
        <w:div w:id="1124736197">
          <w:marLeft w:val="0"/>
          <w:marRight w:val="0"/>
          <w:marTop w:val="0"/>
          <w:marBottom w:val="0"/>
          <w:divBdr>
            <w:top w:val="none" w:sz="0" w:space="0" w:color="auto"/>
            <w:left w:val="none" w:sz="0" w:space="0" w:color="auto"/>
            <w:bottom w:val="none" w:sz="0" w:space="0" w:color="auto"/>
            <w:right w:val="none" w:sz="0" w:space="0" w:color="auto"/>
          </w:divBdr>
        </w:div>
        <w:div w:id="1609775748">
          <w:marLeft w:val="0"/>
          <w:marRight w:val="0"/>
          <w:marTop w:val="0"/>
          <w:marBottom w:val="0"/>
          <w:divBdr>
            <w:top w:val="none" w:sz="0" w:space="0" w:color="auto"/>
            <w:left w:val="none" w:sz="0" w:space="0" w:color="auto"/>
            <w:bottom w:val="none" w:sz="0" w:space="0" w:color="auto"/>
            <w:right w:val="none" w:sz="0" w:space="0" w:color="auto"/>
          </w:divBdr>
        </w:div>
        <w:div w:id="1732263830">
          <w:marLeft w:val="0"/>
          <w:marRight w:val="0"/>
          <w:marTop w:val="0"/>
          <w:marBottom w:val="0"/>
          <w:divBdr>
            <w:top w:val="none" w:sz="0" w:space="0" w:color="auto"/>
            <w:left w:val="none" w:sz="0" w:space="0" w:color="auto"/>
            <w:bottom w:val="none" w:sz="0" w:space="0" w:color="auto"/>
            <w:right w:val="none" w:sz="0" w:space="0" w:color="auto"/>
          </w:divBdr>
        </w:div>
        <w:div w:id="2134859494">
          <w:marLeft w:val="0"/>
          <w:marRight w:val="0"/>
          <w:marTop w:val="0"/>
          <w:marBottom w:val="0"/>
          <w:divBdr>
            <w:top w:val="none" w:sz="0" w:space="0" w:color="auto"/>
            <w:left w:val="none" w:sz="0" w:space="0" w:color="auto"/>
            <w:bottom w:val="none" w:sz="0" w:space="0" w:color="auto"/>
            <w:right w:val="none" w:sz="0" w:space="0" w:color="auto"/>
          </w:divBdr>
        </w:div>
      </w:divsChild>
    </w:div>
    <w:div w:id="1159343943">
      <w:bodyDiv w:val="1"/>
      <w:marLeft w:val="0"/>
      <w:marRight w:val="0"/>
      <w:marTop w:val="0"/>
      <w:marBottom w:val="0"/>
      <w:divBdr>
        <w:top w:val="none" w:sz="0" w:space="0" w:color="auto"/>
        <w:left w:val="none" w:sz="0" w:space="0" w:color="auto"/>
        <w:bottom w:val="none" w:sz="0" w:space="0" w:color="auto"/>
        <w:right w:val="none" w:sz="0" w:space="0" w:color="auto"/>
      </w:divBdr>
      <w:divsChild>
        <w:div w:id="73943089">
          <w:marLeft w:val="0"/>
          <w:marRight w:val="0"/>
          <w:marTop w:val="0"/>
          <w:marBottom w:val="0"/>
          <w:divBdr>
            <w:top w:val="none" w:sz="0" w:space="0" w:color="auto"/>
            <w:left w:val="none" w:sz="0" w:space="0" w:color="auto"/>
            <w:bottom w:val="none" w:sz="0" w:space="0" w:color="auto"/>
            <w:right w:val="none" w:sz="0" w:space="0" w:color="auto"/>
          </w:divBdr>
        </w:div>
        <w:div w:id="339553303">
          <w:marLeft w:val="0"/>
          <w:marRight w:val="0"/>
          <w:marTop w:val="0"/>
          <w:marBottom w:val="0"/>
          <w:divBdr>
            <w:top w:val="none" w:sz="0" w:space="0" w:color="auto"/>
            <w:left w:val="none" w:sz="0" w:space="0" w:color="auto"/>
            <w:bottom w:val="none" w:sz="0" w:space="0" w:color="auto"/>
            <w:right w:val="none" w:sz="0" w:space="0" w:color="auto"/>
          </w:divBdr>
        </w:div>
        <w:div w:id="398135330">
          <w:marLeft w:val="0"/>
          <w:marRight w:val="0"/>
          <w:marTop w:val="0"/>
          <w:marBottom w:val="0"/>
          <w:divBdr>
            <w:top w:val="none" w:sz="0" w:space="0" w:color="auto"/>
            <w:left w:val="none" w:sz="0" w:space="0" w:color="auto"/>
            <w:bottom w:val="none" w:sz="0" w:space="0" w:color="auto"/>
            <w:right w:val="none" w:sz="0" w:space="0" w:color="auto"/>
          </w:divBdr>
        </w:div>
        <w:div w:id="480082963">
          <w:marLeft w:val="0"/>
          <w:marRight w:val="0"/>
          <w:marTop w:val="0"/>
          <w:marBottom w:val="0"/>
          <w:divBdr>
            <w:top w:val="none" w:sz="0" w:space="0" w:color="auto"/>
            <w:left w:val="none" w:sz="0" w:space="0" w:color="auto"/>
            <w:bottom w:val="none" w:sz="0" w:space="0" w:color="auto"/>
            <w:right w:val="none" w:sz="0" w:space="0" w:color="auto"/>
          </w:divBdr>
        </w:div>
        <w:div w:id="2090760756">
          <w:marLeft w:val="0"/>
          <w:marRight w:val="0"/>
          <w:marTop w:val="0"/>
          <w:marBottom w:val="0"/>
          <w:divBdr>
            <w:top w:val="none" w:sz="0" w:space="0" w:color="auto"/>
            <w:left w:val="none" w:sz="0" w:space="0" w:color="auto"/>
            <w:bottom w:val="none" w:sz="0" w:space="0" w:color="auto"/>
            <w:right w:val="none" w:sz="0" w:space="0" w:color="auto"/>
          </w:divBdr>
        </w:div>
      </w:divsChild>
    </w:div>
    <w:div w:id="1213737273">
      <w:bodyDiv w:val="1"/>
      <w:marLeft w:val="0"/>
      <w:marRight w:val="0"/>
      <w:marTop w:val="0"/>
      <w:marBottom w:val="0"/>
      <w:divBdr>
        <w:top w:val="none" w:sz="0" w:space="0" w:color="auto"/>
        <w:left w:val="none" w:sz="0" w:space="0" w:color="auto"/>
        <w:bottom w:val="none" w:sz="0" w:space="0" w:color="auto"/>
        <w:right w:val="none" w:sz="0" w:space="0" w:color="auto"/>
      </w:divBdr>
      <w:divsChild>
        <w:div w:id="953245935">
          <w:marLeft w:val="0"/>
          <w:marRight w:val="0"/>
          <w:marTop w:val="0"/>
          <w:marBottom w:val="0"/>
          <w:divBdr>
            <w:top w:val="none" w:sz="0" w:space="0" w:color="auto"/>
            <w:left w:val="none" w:sz="0" w:space="0" w:color="auto"/>
            <w:bottom w:val="none" w:sz="0" w:space="0" w:color="auto"/>
            <w:right w:val="none" w:sz="0" w:space="0" w:color="auto"/>
          </w:divBdr>
        </w:div>
        <w:div w:id="2114668958">
          <w:marLeft w:val="0"/>
          <w:marRight w:val="0"/>
          <w:marTop w:val="0"/>
          <w:marBottom w:val="0"/>
          <w:divBdr>
            <w:top w:val="none" w:sz="0" w:space="0" w:color="auto"/>
            <w:left w:val="none" w:sz="0" w:space="0" w:color="auto"/>
            <w:bottom w:val="none" w:sz="0" w:space="0" w:color="auto"/>
            <w:right w:val="none" w:sz="0" w:space="0" w:color="auto"/>
          </w:divBdr>
        </w:div>
      </w:divsChild>
    </w:div>
    <w:div w:id="1221211255">
      <w:bodyDiv w:val="1"/>
      <w:marLeft w:val="0"/>
      <w:marRight w:val="0"/>
      <w:marTop w:val="0"/>
      <w:marBottom w:val="0"/>
      <w:divBdr>
        <w:top w:val="none" w:sz="0" w:space="0" w:color="auto"/>
        <w:left w:val="none" w:sz="0" w:space="0" w:color="auto"/>
        <w:bottom w:val="none" w:sz="0" w:space="0" w:color="auto"/>
        <w:right w:val="none" w:sz="0" w:space="0" w:color="auto"/>
      </w:divBdr>
      <w:divsChild>
        <w:div w:id="184826090">
          <w:marLeft w:val="0"/>
          <w:marRight w:val="0"/>
          <w:marTop w:val="0"/>
          <w:marBottom w:val="0"/>
          <w:divBdr>
            <w:top w:val="none" w:sz="0" w:space="0" w:color="auto"/>
            <w:left w:val="none" w:sz="0" w:space="0" w:color="auto"/>
            <w:bottom w:val="none" w:sz="0" w:space="0" w:color="auto"/>
            <w:right w:val="none" w:sz="0" w:space="0" w:color="auto"/>
          </w:divBdr>
        </w:div>
        <w:div w:id="364253304">
          <w:marLeft w:val="0"/>
          <w:marRight w:val="0"/>
          <w:marTop w:val="0"/>
          <w:marBottom w:val="0"/>
          <w:divBdr>
            <w:top w:val="none" w:sz="0" w:space="0" w:color="auto"/>
            <w:left w:val="none" w:sz="0" w:space="0" w:color="auto"/>
            <w:bottom w:val="none" w:sz="0" w:space="0" w:color="auto"/>
            <w:right w:val="none" w:sz="0" w:space="0" w:color="auto"/>
          </w:divBdr>
        </w:div>
        <w:div w:id="728848694">
          <w:marLeft w:val="0"/>
          <w:marRight w:val="0"/>
          <w:marTop w:val="0"/>
          <w:marBottom w:val="0"/>
          <w:divBdr>
            <w:top w:val="none" w:sz="0" w:space="0" w:color="auto"/>
            <w:left w:val="none" w:sz="0" w:space="0" w:color="auto"/>
            <w:bottom w:val="none" w:sz="0" w:space="0" w:color="auto"/>
            <w:right w:val="none" w:sz="0" w:space="0" w:color="auto"/>
          </w:divBdr>
        </w:div>
        <w:div w:id="803472891">
          <w:marLeft w:val="0"/>
          <w:marRight w:val="0"/>
          <w:marTop w:val="0"/>
          <w:marBottom w:val="0"/>
          <w:divBdr>
            <w:top w:val="none" w:sz="0" w:space="0" w:color="auto"/>
            <w:left w:val="none" w:sz="0" w:space="0" w:color="auto"/>
            <w:bottom w:val="none" w:sz="0" w:space="0" w:color="auto"/>
            <w:right w:val="none" w:sz="0" w:space="0" w:color="auto"/>
          </w:divBdr>
        </w:div>
        <w:div w:id="1330330869">
          <w:marLeft w:val="0"/>
          <w:marRight w:val="0"/>
          <w:marTop w:val="0"/>
          <w:marBottom w:val="0"/>
          <w:divBdr>
            <w:top w:val="none" w:sz="0" w:space="0" w:color="auto"/>
            <w:left w:val="none" w:sz="0" w:space="0" w:color="auto"/>
            <w:bottom w:val="none" w:sz="0" w:space="0" w:color="auto"/>
            <w:right w:val="none" w:sz="0" w:space="0" w:color="auto"/>
          </w:divBdr>
        </w:div>
        <w:div w:id="1798988929">
          <w:marLeft w:val="0"/>
          <w:marRight w:val="0"/>
          <w:marTop w:val="0"/>
          <w:marBottom w:val="0"/>
          <w:divBdr>
            <w:top w:val="none" w:sz="0" w:space="0" w:color="auto"/>
            <w:left w:val="none" w:sz="0" w:space="0" w:color="auto"/>
            <w:bottom w:val="none" w:sz="0" w:space="0" w:color="auto"/>
            <w:right w:val="none" w:sz="0" w:space="0" w:color="auto"/>
          </w:divBdr>
        </w:div>
        <w:div w:id="2051804175">
          <w:marLeft w:val="0"/>
          <w:marRight w:val="0"/>
          <w:marTop w:val="0"/>
          <w:marBottom w:val="0"/>
          <w:divBdr>
            <w:top w:val="none" w:sz="0" w:space="0" w:color="auto"/>
            <w:left w:val="none" w:sz="0" w:space="0" w:color="auto"/>
            <w:bottom w:val="none" w:sz="0" w:space="0" w:color="auto"/>
            <w:right w:val="none" w:sz="0" w:space="0" w:color="auto"/>
          </w:divBdr>
        </w:div>
      </w:divsChild>
    </w:div>
    <w:div w:id="1238131696">
      <w:bodyDiv w:val="1"/>
      <w:marLeft w:val="0"/>
      <w:marRight w:val="0"/>
      <w:marTop w:val="0"/>
      <w:marBottom w:val="0"/>
      <w:divBdr>
        <w:top w:val="none" w:sz="0" w:space="0" w:color="auto"/>
        <w:left w:val="none" w:sz="0" w:space="0" w:color="auto"/>
        <w:bottom w:val="none" w:sz="0" w:space="0" w:color="auto"/>
        <w:right w:val="none" w:sz="0" w:space="0" w:color="auto"/>
      </w:divBdr>
      <w:divsChild>
        <w:div w:id="979457759">
          <w:marLeft w:val="0"/>
          <w:marRight w:val="0"/>
          <w:marTop w:val="0"/>
          <w:marBottom w:val="0"/>
          <w:divBdr>
            <w:top w:val="none" w:sz="0" w:space="0" w:color="auto"/>
            <w:left w:val="none" w:sz="0" w:space="0" w:color="auto"/>
            <w:bottom w:val="none" w:sz="0" w:space="0" w:color="auto"/>
            <w:right w:val="none" w:sz="0" w:space="0" w:color="auto"/>
          </w:divBdr>
          <w:divsChild>
            <w:div w:id="201551386">
              <w:marLeft w:val="0"/>
              <w:marRight w:val="0"/>
              <w:marTop w:val="0"/>
              <w:marBottom w:val="0"/>
              <w:divBdr>
                <w:top w:val="none" w:sz="0" w:space="0" w:color="auto"/>
                <w:left w:val="none" w:sz="0" w:space="0" w:color="auto"/>
                <w:bottom w:val="none" w:sz="0" w:space="0" w:color="auto"/>
                <w:right w:val="none" w:sz="0" w:space="0" w:color="auto"/>
              </w:divBdr>
            </w:div>
            <w:div w:id="339821624">
              <w:marLeft w:val="0"/>
              <w:marRight w:val="0"/>
              <w:marTop w:val="0"/>
              <w:marBottom w:val="0"/>
              <w:divBdr>
                <w:top w:val="none" w:sz="0" w:space="0" w:color="auto"/>
                <w:left w:val="none" w:sz="0" w:space="0" w:color="auto"/>
                <w:bottom w:val="none" w:sz="0" w:space="0" w:color="auto"/>
                <w:right w:val="none" w:sz="0" w:space="0" w:color="auto"/>
              </w:divBdr>
            </w:div>
            <w:div w:id="919757425">
              <w:marLeft w:val="0"/>
              <w:marRight w:val="0"/>
              <w:marTop w:val="0"/>
              <w:marBottom w:val="0"/>
              <w:divBdr>
                <w:top w:val="none" w:sz="0" w:space="0" w:color="auto"/>
                <w:left w:val="none" w:sz="0" w:space="0" w:color="auto"/>
                <w:bottom w:val="none" w:sz="0" w:space="0" w:color="auto"/>
                <w:right w:val="none" w:sz="0" w:space="0" w:color="auto"/>
              </w:divBdr>
            </w:div>
            <w:div w:id="2027322702">
              <w:marLeft w:val="0"/>
              <w:marRight w:val="0"/>
              <w:marTop w:val="0"/>
              <w:marBottom w:val="0"/>
              <w:divBdr>
                <w:top w:val="none" w:sz="0" w:space="0" w:color="auto"/>
                <w:left w:val="none" w:sz="0" w:space="0" w:color="auto"/>
                <w:bottom w:val="none" w:sz="0" w:space="0" w:color="auto"/>
                <w:right w:val="none" w:sz="0" w:space="0" w:color="auto"/>
              </w:divBdr>
            </w:div>
          </w:divsChild>
        </w:div>
        <w:div w:id="1353728513">
          <w:marLeft w:val="0"/>
          <w:marRight w:val="0"/>
          <w:marTop w:val="0"/>
          <w:marBottom w:val="0"/>
          <w:divBdr>
            <w:top w:val="none" w:sz="0" w:space="0" w:color="auto"/>
            <w:left w:val="none" w:sz="0" w:space="0" w:color="auto"/>
            <w:bottom w:val="none" w:sz="0" w:space="0" w:color="auto"/>
            <w:right w:val="none" w:sz="0" w:space="0" w:color="auto"/>
          </w:divBdr>
          <w:divsChild>
            <w:div w:id="71047911">
              <w:marLeft w:val="0"/>
              <w:marRight w:val="0"/>
              <w:marTop w:val="0"/>
              <w:marBottom w:val="0"/>
              <w:divBdr>
                <w:top w:val="none" w:sz="0" w:space="0" w:color="auto"/>
                <w:left w:val="none" w:sz="0" w:space="0" w:color="auto"/>
                <w:bottom w:val="none" w:sz="0" w:space="0" w:color="auto"/>
                <w:right w:val="none" w:sz="0" w:space="0" w:color="auto"/>
              </w:divBdr>
            </w:div>
            <w:div w:id="771055291">
              <w:marLeft w:val="0"/>
              <w:marRight w:val="0"/>
              <w:marTop w:val="0"/>
              <w:marBottom w:val="0"/>
              <w:divBdr>
                <w:top w:val="none" w:sz="0" w:space="0" w:color="auto"/>
                <w:left w:val="none" w:sz="0" w:space="0" w:color="auto"/>
                <w:bottom w:val="none" w:sz="0" w:space="0" w:color="auto"/>
                <w:right w:val="none" w:sz="0" w:space="0" w:color="auto"/>
              </w:divBdr>
            </w:div>
            <w:div w:id="1000894234">
              <w:marLeft w:val="0"/>
              <w:marRight w:val="0"/>
              <w:marTop w:val="0"/>
              <w:marBottom w:val="0"/>
              <w:divBdr>
                <w:top w:val="none" w:sz="0" w:space="0" w:color="auto"/>
                <w:left w:val="none" w:sz="0" w:space="0" w:color="auto"/>
                <w:bottom w:val="none" w:sz="0" w:space="0" w:color="auto"/>
                <w:right w:val="none" w:sz="0" w:space="0" w:color="auto"/>
              </w:divBdr>
            </w:div>
            <w:div w:id="1529682130">
              <w:marLeft w:val="0"/>
              <w:marRight w:val="0"/>
              <w:marTop w:val="0"/>
              <w:marBottom w:val="0"/>
              <w:divBdr>
                <w:top w:val="none" w:sz="0" w:space="0" w:color="auto"/>
                <w:left w:val="none" w:sz="0" w:space="0" w:color="auto"/>
                <w:bottom w:val="none" w:sz="0" w:space="0" w:color="auto"/>
                <w:right w:val="none" w:sz="0" w:space="0" w:color="auto"/>
              </w:divBdr>
            </w:div>
            <w:div w:id="183294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304435">
      <w:bodyDiv w:val="1"/>
      <w:marLeft w:val="0"/>
      <w:marRight w:val="0"/>
      <w:marTop w:val="0"/>
      <w:marBottom w:val="0"/>
      <w:divBdr>
        <w:top w:val="none" w:sz="0" w:space="0" w:color="auto"/>
        <w:left w:val="none" w:sz="0" w:space="0" w:color="auto"/>
        <w:bottom w:val="none" w:sz="0" w:space="0" w:color="auto"/>
        <w:right w:val="none" w:sz="0" w:space="0" w:color="auto"/>
      </w:divBdr>
      <w:divsChild>
        <w:div w:id="915044669">
          <w:marLeft w:val="0"/>
          <w:marRight w:val="0"/>
          <w:marTop w:val="0"/>
          <w:marBottom w:val="0"/>
          <w:divBdr>
            <w:top w:val="none" w:sz="0" w:space="0" w:color="auto"/>
            <w:left w:val="none" w:sz="0" w:space="0" w:color="auto"/>
            <w:bottom w:val="none" w:sz="0" w:space="0" w:color="auto"/>
            <w:right w:val="none" w:sz="0" w:space="0" w:color="auto"/>
          </w:divBdr>
        </w:div>
        <w:div w:id="1240210904">
          <w:marLeft w:val="0"/>
          <w:marRight w:val="0"/>
          <w:marTop w:val="0"/>
          <w:marBottom w:val="0"/>
          <w:divBdr>
            <w:top w:val="none" w:sz="0" w:space="0" w:color="auto"/>
            <w:left w:val="none" w:sz="0" w:space="0" w:color="auto"/>
            <w:bottom w:val="none" w:sz="0" w:space="0" w:color="auto"/>
            <w:right w:val="none" w:sz="0" w:space="0" w:color="auto"/>
          </w:divBdr>
        </w:div>
        <w:div w:id="1570581462">
          <w:marLeft w:val="0"/>
          <w:marRight w:val="0"/>
          <w:marTop w:val="0"/>
          <w:marBottom w:val="0"/>
          <w:divBdr>
            <w:top w:val="none" w:sz="0" w:space="0" w:color="auto"/>
            <w:left w:val="none" w:sz="0" w:space="0" w:color="auto"/>
            <w:bottom w:val="none" w:sz="0" w:space="0" w:color="auto"/>
            <w:right w:val="none" w:sz="0" w:space="0" w:color="auto"/>
          </w:divBdr>
        </w:div>
        <w:div w:id="1749888592">
          <w:marLeft w:val="0"/>
          <w:marRight w:val="0"/>
          <w:marTop w:val="0"/>
          <w:marBottom w:val="0"/>
          <w:divBdr>
            <w:top w:val="none" w:sz="0" w:space="0" w:color="auto"/>
            <w:left w:val="none" w:sz="0" w:space="0" w:color="auto"/>
            <w:bottom w:val="none" w:sz="0" w:space="0" w:color="auto"/>
            <w:right w:val="none" w:sz="0" w:space="0" w:color="auto"/>
          </w:divBdr>
        </w:div>
        <w:div w:id="1844473882">
          <w:marLeft w:val="0"/>
          <w:marRight w:val="0"/>
          <w:marTop w:val="0"/>
          <w:marBottom w:val="0"/>
          <w:divBdr>
            <w:top w:val="none" w:sz="0" w:space="0" w:color="auto"/>
            <w:left w:val="none" w:sz="0" w:space="0" w:color="auto"/>
            <w:bottom w:val="none" w:sz="0" w:space="0" w:color="auto"/>
            <w:right w:val="none" w:sz="0" w:space="0" w:color="auto"/>
          </w:divBdr>
        </w:div>
        <w:div w:id="1884360768">
          <w:marLeft w:val="0"/>
          <w:marRight w:val="0"/>
          <w:marTop w:val="0"/>
          <w:marBottom w:val="0"/>
          <w:divBdr>
            <w:top w:val="none" w:sz="0" w:space="0" w:color="auto"/>
            <w:left w:val="none" w:sz="0" w:space="0" w:color="auto"/>
            <w:bottom w:val="none" w:sz="0" w:space="0" w:color="auto"/>
            <w:right w:val="none" w:sz="0" w:space="0" w:color="auto"/>
          </w:divBdr>
          <w:divsChild>
            <w:div w:id="1547140852">
              <w:marLeft w:val="0"/>
              <w:marRight w:val="0"/>
              <w:marTop w:val="0"/>
              <w:marBottom w:val="0"/>
              <w:divBdr>
                <w:top w:val="none" w:sz="0" w:space="0" w:color="auto"/>
                <w:left w:val="none" w:sz="0" w:space="0" w:color="auto"/>
                <w:bottom w:val="none" w:sz="0" w:space="0" w:color="auto"/>
                <w:right w:val="none" w:sz="0" w:space="0" w:color="auto"/>
              </w:divBdr>
            </w:div>
            <w:div w:id="1557349203">
              <w:marLeft w:val="0"/>
              <w:marRight w:val="0"/>
              <w:marTop w:val="0"/>
              <w:marBottom w:val="0"/>
              <w:divBdr>
                <w:top w:val="none" w:sz="0" w:space="0" w:color="auto"/>
                <w:left w:val="none" w:sz="0" w:space="0" w:color="auto"/>
                <w:bottom w:val="none" w:sz="0" w:space="0" w:color="auto"/>
                <w:right w:val="none" w:sz="0" w:space="0" w:color="auto"/>
              </w:divBdr>
            </w:div>
            <w:div w:id="1903906284">
              <w:marLeft w:val="0"/>
              <w:marRight w:val="0"/>
              <w:marTop w:val="0"/>
              <w:marBottom w:val="0"/>
              <w:divBdr>
                <w:top w:val="none" w:sz="0" w:space="0" w:color="auto"/>
                <w:left w:val="none" w:sz="0" w:space="0" w:color="auto"/>
                <w:bottom w:val="none" w:sz="0" w:space="0" w:color="auto"/>
                <w:right w:val="none" w:sz="0" w:space="0" w:color="auto"/>
              </w:divBdr>
            </w:div>
            <w:div w:id="212384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1102">
      <w:bodyDiv w:val="1"/>
      <w:marLeft w:val="0"/>
      <w:marRight w:val="0"/>
      <w:marTop w:val="0"/>
      <w:marBottom w:val="0"/>
      <w:divBdr>
        <w:top w:val="none" w:sz="0" w:space="0" w:color="auto"/>
        <w:left w:val="none" w:sz="0" w:space="0" w:color="auto"/>
        <w:bottom w:val="none" w:sz="0" w:space="0" w:color="auto"/>
        <w:right w:val="none" w:sz="0" w:space="0" w:color="auto"/>
      </w:divBdr>
      <w:divsChild>
        <w:div w:id="58094715">
          <w:marLeft w:val="0"/>
          <w:marRight w:val="0"/>
          <w:marTop w:val="0"/>
          <w:marBottom w:val="0"/>
          <w:divBdr>
            <w:top w:val="none" w:sz="0" w:space="0" w:color="auto"/>
            <w:left w:val="none" w:sz="0" w:space="0" w:color="auto"/>
            <w:bottom w:val="none" w:sz="0" w:space="0" w:color="auto"/>
            <w:right w:val="none" w:sz="0" w:space="0" w:color="auto"/>
          </w:divBdr>
        </w:div>
        <w:div w:id="697438198">
          <w:marLeft w:val="0"/>
          <w:marRight w:val="0"/>
          <w:marTop w:val="0"/>
          <w:marBottom w:val="0"/>
          <w:divBdr>
            <w:top w:val="none" w:sz="0" w:space="0" w:color="auto"/>
            <w:left w:val="none" w:sz="0" w:space="0" w:color="auto"/>
            <w:bottom w:val="none" w:sz="0" w:space="0" w:color="auto"/>
            <w:right w:val="none" w:sz="0" w:space="0" w:color="auto"/>
          </w:divBdr>
        </w:div>
        <w:div w:id="953900109">
          <w:marLeft w:val="0"/>
          <w:marRight w:val="0"/>
          <w:marTop w:val="0"/>
          <w:marBottom w:val="0"/>
          <w:divBdr>
            <w:top w:val="none" w:sz="0" w:space="0" w:color="auto"/>
            <w:left w:val="none" w:sz="0" w:space="0" w:color="auto"/>
            <w:bottom w:val="none" w:sz="0" w:space="0" w:color="auto"/>
            <w:right w:val="none" w:sz="0" w:space="0" w:color="auto"/>
          </w:divBdr>
        </w:div>
        <w:div w:id="1383556637">
          <w:marLeft w:val="0"/>
          <w:marRight w:val="0"/>
          <w:marTop w:val="0"/>
          <w:marBottom w:val="0"/>
          <w:divBdr>
            <w:top w:val="none" w:sz="0" w:space="0" w:color="auto"/>
            <w:left w:val="none" w:sz="0" w:space="0" w:color="auto"/>
            <w:bottom w:val="none" w:sz="0" w:space="0" w:color="auto"/>
            <w:right w:val="none" w:sz="0" w:space="0" w:color="auto"/>
          </w:divBdr>
        </w:div>
        <w:div w:id="1429354181">
          <w:marLeft w:val="0"/>
          <w:marRight w:val="0"/>
          <w:marTop w:val="0"/>
          <w:marBottom w:val="0"/>
          <w:divBdr>
            <w:top w:val="none" w:sz="0" w:space="0" w:color="auto"/>
            <w:left w:val="none" w:sz="0" w:space="0" w:color="auto"/>
            <w:bottom w:val="none" w:sz="0" w:space="0" w:color="auto"/>
            <w:right w:val="none" w:sz="0" w:space="0" w:color="auto"/>
          </w:divBdr>
        </w:div>
      </w:divsChild>
    </w:div>
    <w:div w:id="1259287344">
      <w:bodyDiv w:val="1"/>
      <w:marLeft w:val="0"/>
      <w:marRight w:val="0"/>
      <w:marTop w:val="0"/>
      <w:marBottom w:val="0"/>
      <w:divBdr>
        <w:top w:val="none" w:sz="0" w:space="0" w:color="auto"/>
        <w:left w:val="none" w:sz="0" w:space="0" w:color="auto"/>
        <w:bottom w:val="none" w:sz="0" w:space="0" w:color="auto"/>
        <w:right w:val="none" w:sz="0" w:space="0" w:color="auto"/>
      </w:divBdr>
    </w:div>
    <w:div w:id="1260018446">
      <w:bodyDiv w:val="1"/>
      <w:marLeft w:val="0"/>
      <w:marRight w:val="0"/>
      <w:marTop w:val="0"/>
      <w:marBottom w:val="0"/>
      <w:divBdr>
        <w:top w:val="none" w:sz="0" w:space="0" w:color="auto"/>
        <w:left w:val="none" w:sz="0" w:space="0" w:color="auto"/>
        <w:bottom w:val="none" w:sz="0" w:space="0" w:color="auto"/>
        <w:right w:val="none" w:sz="0" w:space="0" w:color="auto"/>
      </w:divBdr>
      <w:divsChild>
        <w:div w:id="4789808">
          <w:marLeft w:val="0"/>
          <w:marRight w:val="0"/>
          <w:marTop w:val="0"/>
          <w:marBottom w:val="0"/>
          <w:divBdr>
            <w:top w:val="none" w:sz="0" w:space="0" w:color="auto"/>
            <w:left w:val="none" w:sz="0" w:space="0" w:color="auto"/>
            <w:bottom w:val="none" w:sz="0" w:space="0" w:color="auto"/>
            <w:right w:val="none" w:sz="0" w:space="0" w:color="auto"/>
          </w:divBdr>
        </w:div>
        <w:div w:id="289627591">
          <w:marLeft w:val="0"/>
          <w:marRight w:val="0"/>
          <w:marTop w:val="0"/>
          <w:marBottom w:val="0"/>
          <w:divBdr>
            <w:top w:val="none" w:sz="0" w:space="0" w:color="auto"/>
            <w:left w:val="none" w:sz="0" w:space="0" w:color="auto"/>
            <w:bottom w:val="none" w:sz="0" w:space="0" w:color="auto"/>
            <w:right w:val="none" w:sz="0" w:space="0" w:color="auto"/>
          </w:divBdr>
        </w:div>
        <w:div w:id="520165958">
          <w:marLeft w:val="0"/>
          <w:marRight w:val="0"/>
          <w:marTop w:val="0"/>
          <w:marBottom w:val="0"/>
          <w:divBdr>
            <w:top w:val="none" w:sz="0" w:space="0" w:color="auto"/>
            <w:left w:val="none" w:sz="0" w:space="0" w:color="auto"/>
            <w:bottom w:val="none" w:sz="0" w:space="0" w:color="auto"/>
            <w:right w:val="none" w:sz="0" w:space="0" w:color="auto"/>
          </w:divBdr>
        </w:div>
        <w:div w:id="1238708801">
          <w:marLeft w:val="0"/>
          <w:marRight w:val="0"/>
          <w:marTop w:val="0"/>
          <w:marBottom w:val="0"/>
          <w:divBdr>
            <w:top w:val="none" w:sz="0" w:space="0" w:color="auto"/>
            <w:left w:val="none" w:sz="0" w:space="0" w:color="auto"/>
            <w:bottom w:val="none" w:sz="0" w:space="0" w:color="auto"/>
            <w:right w:val="none" w:sz="0" w:space="0" w:color="auto"/>
          </w:divBdr>
        </w:div>
        <w:div w:id="1326976296">
          <w:marLeft w:val="0"/>
          <w:marRight w:val="0"/>
          <w:marTop w:val="0"/>
          <w:marBottom w:val="0"/>
          <w:divBdr>
            <w:top w:val="none" w:sz="0" w:space="0" w:color="auto"/>
            <w:left w:val="none" w:sz="0" w:space="0" w:color="auto"/>
            <w:bottom w:val="none" w:sz="0" w:space="0" w:color="auto"/>
            <w:right w:val="none" w:sz="0" w:space="0" w:color="auto"/>
          </w:divBdr>
        </w:div>
        <w:div w:id="1341154383">
          <w:marLeft w:val="0"/>
          <w:marRight w:val="0"/>
          <w:marTop w:val="0"/>
          <w:marBottom w:val="0"/>
          <w:divBdr>
            <w:top w:val="none" w:sz="0" w:space="0" w:color="auto"/>
            <w:left w:val="none" w:sz="0" w:space="0" w:color="auto"/>
            <w:bottom w:val="none" w:sz="0" w:space="0" w:color="auto"/>
            <w:right w:val="none" w:sz="0" w:space="0" w:color="auto"/>
          </w:divBdr>
        </w:div>
        <w:div w:id="1960139105">
          <w:marLeft w:val="0"/>
          <w:marRight w:val="0"/>
          <w:marTop w:val="0"/>
          <w:marBottom w:val="0"/>
          <w:divBdr>
            <w:top w:val="none" w:sz="0" w:space="0" w:color="auto"/>
            <w:left w:val="none" w:sz="0" w:space="0" w:color="auto"/>
            <w:bottom w:val="none" w:sz="0" w:space="0" w:color="auto"/>
            <w:right w:val="none" w:sz="0" w:space="0" w:color="auto"/>
          </w:divBdr>
        </w:div>
      </w:divsChild>
    </w:div>
    <w:div w:id="1271819980">
      <w:bodyDiv w:val="1"/>
      <w:marLeft w:val="0"/>
      <w:marRight w:val="0"/>
      <w:marTop w:val="0"/>
      <w:marBottom w:val="0"/>
      <w:divBdr>
        <w:top w:val="none" w:sz="0" w:space="0" w:color="auto"/>
        <w:left w:val="none" w:sz="0" w:space="0" w:color="auto"/>
        <w:bottom w:val="none" w:sz="0" w:space="0" w:color="auto"/>
        <w:right w:val="none" w:sz="0" w:space="0" w:color="auto"/>
      </w:divBdr>
      <w:divsChild>
        <w:div w:id="166677904">
          <w:marLeft w:val="0"/>
          <w:marRight w:val="0"/>
          <w:marTop w:val="0"/>
          <w:marBottom w:val="0"/>
          <w:divBdr>
            <w:top w:val="none" w:sz="0" w:space="0" w:color="auto"/>
            <w:left w:val="none" w:sz="0" w:space="0" w:color="auto"/>
            <w:bottom w:val="none" w:sz="0" w:space="0" w:color="auto"/>
            <w:right w:val="none" w:sz="0" w:space="0" w:color="auto"/>
          </w:divBdr>
        </w:div>
        <w:div w:id="189227170">
          <w:marLeft w:val="0"/>
          <w:marRight w:val="0"/>
          <w:marTop w:val="0"/>
          <w:marBottom w:val="0"/>
          <w:divBdr>
            <w:top w:val="none" w:sz="0" w:space="0" w:color="auto"/>
            <w:left w:val="none" w:sz="0" w:space="0" w:color="auto"/>
            <w:bottom w:val="none" w:sz="0" w:space="0" w:color="auto"/>
            <w:right w:val="none" w:sz="0" w:space="0" w:color="auto"/>
          </w:divBdr>
        </w:div>
        <w:div w:id="814567405">
          <w:marLeft w:val="0"/>
          <w:marRight w:val="0"/>
          <w:marTop w:val="0"/>
          <w:marBottom w:val="0"/>
          <w:divBdr>
            <w:top w:val="none" w:sz="0" w:space="0" w:color="auto"/>
            <w:left w:val="none" w:sz="0" w:space="0" w:color="auto"/>
            <w:bottom w:val="none" w:sz="0" w:space="0" w:color="auto"/>
            <w:right w:val="none" w:sz="0" w:space="0" w:color="auto"/>
          </w:divBdr>
        </w:div>
        <w:div w:id="934019465">
          <w:marLeft w:val="0"/>
          <w:marRight w:val="0"/>
          <w:marTop w:val="0"/>
          <w:marBottom w:val="0"/>
          <w:divBdr>
            <w:top w:val="none" w:sz="0" w:space="0" w:color="auto"/>
            <w:left w:val="none" w:sz="0" w:space="0" w:color="auto"/>
            <w:bottom w:val="none" w:sz="0" w:space="0" w:color="auto"/>
            <w:right w:val="none" w:sz="0" w:space="0" w:color="auto"/>
          </w:divBdr>
        </w:div>
        <w:div w:id="1313755139">
          <w:marLeft w:val="0"/>
          <w:marRight w:val="0"/>
          <w:marTop w:val="0"/>
          <w:marBottom w:val="0"/>
          <w:divBdr>
            <w:top w:val="none" w:sz="0" w:space="0" w:color="auto"/>
            <w:left w:val="none" w:sz="0" w:space="0" w:color="auto"/>
            <w:bottom w:val="none" w:sz="0" w:space="0" w:color="auto"/>
            <w:right w:val="none" w:sz="0" w:space="0" w:color="auto"/>
          </w:divBdr>
        </w:div>
        <w:div w:id="1470131421">
          <w:marLeft w:val="0"/>
          <w:marRight w:val="0"/>
          <w:marTop w:val="0"/>
          <w:marBottom w:val="0"/>
          <w:divBdr>
            <w:top w:val="none" w:sz="0" w:space="0" w:color="auto"/>
            <w:left w:val="none" w:sz="0" w:space="0" w:color="auto"/>
            <w:bottom w:val="none" w:sz="0" w:space="0" w:color="auto"/>
            <w:right w:val="none" w:sz="0" w:space="0" w:color="auto"/>
          </w:divBdr>
        </w:div>
        <w:div w:id="1595893759">
          <w:marLeft w:val="0"/>
          <w:marRight w:val="0"/>
          <w:marTop w:val="0"/>
          <w:marBottom w:val="0"/>
          <w:divBdr>
            <w:top w:val="none" w:sz="0" w:space="0" w:color="auto"/>
            <w:left w:val="none" w:sz="0" w:space="0" w:color="auto"/>
            <w:bottom w:val="none" w:sz="0" w:space="0" w:color="auto"/>
            <w:right w:val="none" w:sz="0" w:space="0" w:color="auto"/>
          </w:divBdr>
        </w:div>
      </w:divsChild>
    </w:div>
    <w:div w:id="1290745219">
      <w:bodyDiv w:val="1"/>
      <w:marLeft w:val="0"/>
      <w:marRight w:val="0"/>
      <w:marTop w:val="0"/>
      <w:marBottom w:val="0"/>
      <w:divBdr>
        <w:top w:val="none" w:sz="0" w:space="0" w:color="auto"/>
        <w:left w:val="none" w:sz="0" w:space="0" w:color="auto"/>
        <w:bottom w:val="none" w:sz="0" w:space="0" w:color="auto"/>
        <w:right w:val="none" w:sz="0" w:space="0" w:color="auto"/>
      </w:divBdr>
      <w:divsChild>
        <w:div w:id="948896716">
          <w:marLeft w:val="0"/>
          <w:marRight w:val="0"/>
          <w:marTop w:val="0"/>
          <w:marBottom w:val="0"/>
          <w:divBdr>
            <w:top w:val="none" w:sz="0" w:space="0" w:color="auto"/>
            <w:left w:val="none" w:sz="0" w:space="0" w:color="auto"/>
            <w:bottom w:val="none" w:sz="0" w:space="0" w:color="auto"/>
            <w:right w:val="none" w:sz="0" w:space="0" w:color="auto"/>
          </w:divBdr>
        </w:div>
        <w:div w:id="1011953136">
          <w:marLeft w:val="0"/>
          <w:marRight w:val="0"/>
          <w:marTop w:val="0"/>
          <w:marBottom w:val="0"/>
          <w:divBdr>
            <w:top w:val="none" w:sz="0" w:space="0" w:color="auto"/>
            <w:left w:val="none" w:sz="0" w:space="0" w:color="auto"/>
            <w:bottom w:val="none" w:sz="0" w:space="0" w:color="auto"/>
            <w:right w:val="none" w:sz="0" w:space="0" w:color="auto"/>
          </w:divBdr>
        </w:div>
        <w:div w:id="1344166694">
          <w:marLeft w:val="0"/>
          <w:marRight w:val="0"/>
          <w:marTop w:val="0"/>
          <w:marBottom w:val="0"/>
          <w:divBdr>
            <w:top w:val="none" w:sz="0" w:space="0" w:color="auto"/>
            <w:left w:val="none" w:sz="0" w:space="0" w:color="auto"/>
            <w:bottom w:val="none" w:sz="0" w:space="0" w:color="auto"/>
            <w:right w:val="none" w:sz="0" w:space="0" w:color="auto"/>
          </w:divBdr>
        </w:div>
        <w:div w:id="1841584093">
          <w:marLeft w:val="0"/>
          <w:marRight w:val="0"/>
          <w:marTop w:val="0"/>
          <w:marBottom w:val="0"/>
          <w:divBdr>
            <w:top w:val="none" w:sz="0" w:space="0" w:color="auto"/>
            <w:left w:val="none" w:sz="0" w:space="0" w:color="auto"/>
            <w:bottom w:val="none" w:sz="0" w:space="0" w:color="auto"/>
            <w:right w:val="none" w:sz="0" w:space="0" w:color="auto"/>
          </w:divBdr>
        </w:div>
        <w:div w:id="1874464300">
          <w:marLeft w:val="0"/>
          <w:marRight w:val="0"/>
          <w:marTop w:val="0"/>
          <w:marBottom w:val="0"/>
          <w:divBdr>
            <w:top w:val="none" w:sz="0" w:space="0" w:color="auto"/>
            <w:left w:val="none" w:sz="0" w:space="0" w:color="auto"/>
            <w:bottom w:val="none" w:sz="0" w:space="0" w:color="auto"/>
            <w:right w:val="none" w:sz="0" w:space="0" w:color="auto"/>
          </w:divBdr>
        </w:div>
      </w:divsChild>
    </w:div>
    <w:div w:id="1291593477">
      <w:bodyDiv w:val="1"/>
      <w:marLeft w:val="0"/>
      <w:marRight w:val="0"/>
      <w:marTop w:val="0"/>
      <w:marBottom w:val="0"/>
      <w:divBdr>
        <w:top w:val="none" w:sz="0" w:space="0" w:color="auto"/>
        <w:left w:val="none" w:sz="0" w:space="0" w:color="auto"/>
        <w:bottom w:val="none" w:sz="0" w:space="0" w:color="auto"/>
        <w:right w:val="none" w:sz="0" w:space="0" w:color="auto"/>
      </w:divBdr>
      <w:divsChild>
        <w:div w:id="1277446515">
          <w:marLeft w:val="0"/>
          <w:marRight w:val="0"/>
          <w:marTop w:val="0"/>
          <w:marBottom w:val="0"/>
          <w:divBdr>
            <w:top w:val="none" w:sz="0" w:space="0" w:color="auto"/>
            <w:left w:val="none" w:sz="0" w:space="0" w:color="auto"/>
            <w:bottom w:val="none" w:sz="0" w:space="0" w:color="auto"/>
            <w:right w:val="none" w:sz="0" w:space="0" w:color="auto"/>
          </w:divBdr>
          <w:divsChild>
            <w:div w:id="852693425">
              <w:marLeft w:val="0"/>
              <w:marRight w:val="0"/>
              <w:marTop w:val="0"/>
              <w:marBottom w:val="0"/>
              <w:divBdr>
                <w:top w:val="none" w:sz="0" w:space="0" w:color="auto"/>
                <w:left w:val="none" w:sz="0" w:space="0" w:color="auto"/>
                <w:bottom w:val="none" w:sz="0" w:space="0" w:color="auto"/>
                <w:right w:val="none" w:sz="0" w:space="0" w:color="auto"/>
              </w:divBdr>
            </w:div>
            <w:div w:id="1326474810">
              <w:marLeft w:val="0"/>
              <w:marRight w:val="0"/>
              <w:marTop w:val="0"/>
              <w:marBottom w:val="0"/>
              <w:divBdr>
                <w:top w:val="none" w:sz="0" w:space="0" w:color="auto"/>
                <w:left w:val="none" w:sz="0" w:space="0" w:color="auto"/>
                <w:bottom w:val="none" w:sz="0" w:space="0" w:color="auto"/>
                <w:right w:val="none" w:sz="0" w:space="0" w:color="auto"/>
              </w:divBdr>
            </w:div>
            <w:div w:id="1650791788">
              <w:marLeft w:val="0"/>
              <w:marRight w:val="0"/>
              <w:marTop w:val="0"/>
              <w:marBottom w:val="0"/>
              <w:divBdr>
                <w:top w:val="none" w:sz="0" w:space="0" w:color="auto"/>
                <w:left w:val="none" w:sz="0" w:space="0" w:color="auto"/>
                <w:bottom w:val="none" w:sz="0" w:space="0" w:color="auto"/>
                <w:right w:val="none" w:sz="0" w:space="0" w:color="auto"/>
              </w:divBdr>
            </w:div>
            <w:div w:id="1754668179">
              <w:marLeft w:val="0"/>
              <w:marRight w:val="0"/>
              <w:marTop w:val="0"/>
              <w:marBottom w:val="0"/>
              <w:divBdr>
                <w:top w:val="none" w:sz="0" w:space="0" w:color="auto"/>
                <w:left w:val="none" w:sz="0" w:space="0" w:color="auto"/>
                <w:bottom w:val="none" w:sz="0" w:space="0" w:color="auto"/>
                <w:right w:val="none" w:sz="0" w:space="0" w:color="auto"/>
              </w:divBdr>
            </w:div>
          </w:divsChild>
        </w:div>
        <w:div w:id="1551841280">
          <w:marLeft w:val="0"/>
          <w:marRight w:val="0"/>
          <w:marTop w:val="0"/>
          <w:marBottom w:val="0"/>
          <w:divBdr>
            <w:top w:val="none" w:sz="0" w:space="0" w:color="auto"/>
            <w:left w:val="none" w:sz="0" w:space="0" w:color="auto"/>
            <w:bottom w:val="none" w:sz="0" w:space="0" w:color="auto"/>
            <w:right w:val="none" w:sz="0" w:space="0" w:color="auto"/>
          </w:divBdr>
          <w:divsChild>
            <w:div w:id="262422157">
              <w:marLeft w:val="0"/>
              <w:marRight w:val="0"/>
              <w:marTop w:val="0"/>
              <w:marBottom w:val="0"/>
              <w:divBdr>
                <w:top w:val="none" w:sz="0" w:space="0" w:color="auto"/>
                <w:left w:val="none" w:sz="0" w:space="0" w:color="auto"/>
                <w:bottom w:val="none" w:sz="0" w:space="0" w:color="auto"/>
                <w:right w:val="none" w:sz="0" w:space="0" w:color="auto"/>
              </w:divBdr>
            </w:div>
            <w:div w:id="428161244">
              <w:marLeft w:val="0"/>
              <w:marRight w:val="0"/>
              <w:marTop w:val="0"/>
              <w:marBottom w:val="0"/>
              <w:divBdr>
                <w:top w:val="none" w:sz="0" w:space="0" w:color="auto"/>
                <w:left w:val="none" w:sz="0" w:space="0" w:color="auto"/>
                <w:bottom w:val="none" w:sz="0" w:space="0" w:color="auto"/>
                <w:right w:val="none" w:sz="0" w:space="0" w:color="auto"/>
              </w:divBdr>
            </w:div>
            <w:div w:id="115672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3839">
      <w:bodyDiv w:val="1"/>
      <w:marLeft w:val="0"/>
      <w:marRight w:val="0"/>
      <w:marTop w:val="0"/>
      <w:marBottom w:val="0"/>
      <w:divBdr>
        <w:top w:val="none" w:sz="0" w:space="0" w:color="auto"/>
        <w:left w:val="none" w:sz="0" w:space="0" w:color="auto"/>
        <w:bottom w:val="none" w:sz="0" w:space="0" w:color="auto"/>
        <w:right w:val="none" w:sz="0" w:space="0" w:color="auto"/>
      </w:divBdr>
      <w:divsChild>
        <w:div w:id="215163891">
          <w:marLeft w:val="0"/>
          <w:marRight w:val="0"/>
          <w:marTop w:val="0"/>
          <w:marBottom w:val="0"/>
          <w:divBdr>
            <w:top w:val="none" w:sz="0" w:space="0" w:color="auto"/>
            <w:left w:val="none" w:sz="0" w:space="0" w:color="auto"/>
            <w:bottom w:val="none" w:sz="0" w:space="0" w:color="auto"/>
            <w:right w:val="none" w:sz="0" w:space="0" w:color="auto"/>
          </w:divBdr>
        </w:div>
        <w:div w:id="273096057">
          <w:marLeft w:val="0"/>
          <w:marRight w:val="0"/>
          <w:marTop w:val="0"/>
          <w:marBottom w:val="0"/>
          <w:divBdr>
            <w:top w:val="none" w:sz="0" w:space="0" w:color="auto"/>
            <w:left w:val="none" w:sz="0" w:space="0" w:color="auto"/>
            <w:bottom w:val="none" w:sz="0" w:space="0" w:color="auto"/>
            <w:right w:val="none" w:sz="0" w:space="0" w:color="auto"/>
          </w:divBdr>
        </w:div>
        <w:div w:id="282856909">
          <w:marLeft w:val="0"/>
          <w:marRight w:val="0"/>
          <w:marTop w:val="0"/>
          <w:marBottom w:val="0"/>
          <w:divBdr>
            <w:top w:val="none" w:sz="0" w:space="0" w:color="auto"/>
            <w:left w:val="none" w:sz="0" w:space="0" w:color="auto"/>
            <w:bottom w:val="none" w:sz="0" w:space="0" w:color="auto"/>
            <w:right w:val="none" w:sz="0" w:space="0" w:color="auto"/>
          </w:divBdr>
        </w:div>
        <w:div w:id="676618787">
          <w:marLeft w:val="0"/>
          <w:marRight w:val="0"/>
          <w:marTop w:val="0"/>
          <w:marBottom w:val="0"/>
          <w:divBdr>
            <w:top w:val="none" w:sz="0" w:space="0" w:color="auto"/>
            <w:left w:val="none" w:sz="0" w:space="0" w:color="auto"/>
            <w:bottom w:val="none" w:sz="0" w:space="0" w:color="auto"/>
            <w:right w:val="none" w:sz="0" w:space="0" w:color="auto"/>
          </w:divBdr>
        </w:div>
        <w:div w:id="682635053">
          <w:marLeft w:val="0"/>
          <w:marRight w:val="0"/>
          <w:marTop w:val="0"/>
          <w:marBottom w:val="0"/>
          <w:divBdr>
            <w:top w:val="none" w:sz="0" w:space="0" w:color="auto"/>
            <w:left w:val="none" w:sz="0" w:space="0" w:color="auto"/>
            <w:bottom w:val="none" w:sz="0" w:space="0" w:color="auto"/>
            <w:right w:val="none" w:sz="0" w:space="0" w:color="auto"/>
          </w:divBdr>
        </w:div>
        <w:div w:id="948123116">
          <w:marLeft w:val="0"/>
          <w:marRight w:val="0"/>
          <w:marTop w:val="0"/>
          <w:marBottom w:val="0"/>
          <w:divBdr>
            <w:top w:val="none" w:sz="0" w:space="0" w:color="auto"/>
            <w:left w:val="none" w:sz="0" w:space="0" w:color="auto"/>
            <w:bottom w:val="none" w:sz="0" w:space="0" w:color="auto"/>
            <w:right w:val="none" w:sz="0" w:space="0" w:color="auto"/>
          </w:divBdr>
        </w:div>
        <w:div w:id="1462725875">
          <w:marLeft w:val="0"/>
          <w:marRight w:val="0"/>
          <w:marTop w:val="0"/>
          <w:marBottom w:val="0"/>
          <w:divBdr>
            <w:top w:val="none" w:sz="0" w:space="0" w:color="auto"/>
            <w:left w:val="none" w:sz="0" w:space="0" w:color="auto"/>
            <w:bottom w:val="none" w:sz="0" w:space="0" w:color="auto"/>
            <w:right w:val="none" w:sz="0" w:space="0" w:color="auto"/>
          </w:divBdr>
        </w:div>
        <w:div w:id="1935245057">
          <w:marLeft w:val="0"/>
          <w:marRight w:val="0"/>
          <w:marTop w:val="0"/>
          <w:marBottom w:val="0"/>
          <w:divBdr>
            <w:top w:val="none" w:sz="0" w:space="0" w:color="auto"/>
            <w:left w:val="none" w:sz="0" w:space="0" w:color="auto"/>
            <w:bottom w:val="none" w:sz="0" w:space="0" w:color="auto"/>
            <w:right w:val="none" w:sz="0" w:space="0" w:color="auto"/>
          </w:divBdr>
        </w:div>
      </w:divsChild>
    </w:div>
    <w:div w:id="1298758139">
      <w:bodyDiv w:val="1"/>
      <w:marLeft w:val="0"/>
      <w:marRight w:val="0"/>
      <w:marTop w:val="0"/>
      <w:marBottom w:val="0"/>
      <w:divBdr>
        <w:top w:val="none" w:sz="0" w:space="0" w:color="auto"/>
        <w:left w:val="none" w:sz="0" w:space="0" w:color="auto"/>
        <w:bottom w:val="none" w:sz="0" w:space="0" w:color="auto"/>
        <w:right w:val="none" w:sz="0" w:space="0" w:color="auto"/>
      </w:divBdr>
      <w:divsChild>
        <w:div w:id="132606939">
          <w:marLeft w:val="0"/>
          <w:marRight w:val="0"/>
          <w:marTop w:val="0"/>
          <w:marBottom w:val="0"/>
          <w:divBdr>
            <w:top w:val="none" w:sz="0" w:space="0" w:color="auto"/>
            <w:left w:val="none" w:sz="0" w:space="0" w:color="auto"/>
            <w:bottom w:val="none" w:sz="0" w:space="0" w:color="auto"/>
            <w:right w:val="none" w:sz="0" w:space="0" w:color="auto"/>
          </w:divBdr>
        </w:div>
        <w:div w:id="546069307">
          <w:marLeft w:val="0"/>
          <w:marRight w:val="0"/>
          <w:marTop w:val="0"/>
          <w:marBottom w:val="0"/>
          <w:divBdr>
            <w:top w:val="none" w:sz="0" w:space="0" w:color="auto"/>
            <w:left w:val="none" w:sz="0" w:space="0" w:color="auto"/>
            <w:bottom w:val="none" w:sz="0" w:space="0" w:color="auto"/>
            <w:right w:val="none" w:sz="0" w:space="0" w:color="auto"/>
          </w:divBdr>
        </w:div>
        <w:div w:id="558175422">
          <w:marLeft w:val="0"/>
          <w:marRight w:val="0"/>
          <w:marTop w:val="0"/>
          <w:marBottom w:val="0"/>
          <w:divBdr>
            <w:top w:val="none" w:sz="0" w:space="0" w:color="auto"/>
            <w:left w:val="none" w:sz="0" w:space="0" w:color="auto"/>
            <w:bottom w:val="none" w:sz="0" w:space="0" w:color="auto"/>
            <w:right w:val="none" w:sz="0" w:space="0" w:color="auto"/>
          </w:divBdr>
        </w:div>
        <w:div w:id="582374545">
          <w:marLeft w:val="0"/>
          <w:marRight w:val="0"/>
          <w:marTop w:val="0"/>
          <w:marBottom w:val="0"/>
          <w:divBdr>
            <w:top w:val="none" w:sz="0" w:space="0" w:color="auto"/>
            <w:left w:val="none" w:sz="0" w:space="0" w:color="auto"/>
            <w:bottom w:val="none" w:sz="0" w:space="0" w:color="auto"/>
            <w:right w:val="none" w:sz="0" w:space="0" w:color="auto"/>
          </w:divBdr>
        </w:div>
        <w:div w:id="583416157">
          <w:marLeft w:val="0"/>
          <w:marRight w:val="0"/>
          <w:marTop w:val="0"/>
          <w:marBottom w:val="0"/>
          <w:divBdr>
            <w:top w:val="none" w:sz="0" w:space="0" w:color="auto"/>
            <w:left w:val="none" w:sz="0" w:space="0" w:color="auto"/>
            <w:bottom w:val="none" w:sz="0" w:space="0" w:color="auto"/>
            <w:right w:val="none" w:sz="0" w:space="0" w:color="auto"/>
          </w:divBdr>
        </w:div>
        <w:div w:id="601769036">
          <w:marLeft w:val="0"/>
          <w:marRight w:val="0"/>
          <w:marTop w:val="0"/>
          <w:marBottom w:val="0"/>
          <w:divBdr>
            <w:top w:val="none" w:sz="0" w:space="0" w:color="auto"/>
            <w:left w:val="none" w:sz="0" w:space="0" w:color="auto"/>
            <w:bottom w:val="none" w:sz="0" w:space="0" w:color="auto"/>
            <w:right w:val="none" w:sz="0" w:space="0" w:color="auto"/>
          </w:divBdr>
        </w:div>
        <w:div w:id="779641270">
          <w:marLeft w:val="0"/>
          <w:marRight w:val="0"/>
          <w:marTop w:val="0"/>
          <w:marBottom w:val="0"/>
          <w:divBdr>
            <w:top w:val="none" w:sz="0" w:space="0" w:color="auto"/>
            <w:left w:val="none" w:sz="0" w:space="0" w:color="auto"/>
            <w:bottom w:val="none" w:sz="0" w:space="0" w:color="auto"/>
            <w:right w:val="none" w:sz="0" w:space="0" w:color="auto"/>
          </w:divBdr>
        </w:div>
        <w:div w:id="854075709">
          <w:marLeft w:val="0"/>
          <w:marRight w:val="0"/>
          <w:marTop w:val="0"/>
          <w:marBottom w:val="0"/>
          <w:divBdr>
            <w:top w:val="none" w:sz="0" w:space="0" w:color="auto"/>
            <w:left w:val="none" w:sz="0" w:space="0" w:color="auto"/>
            <w:bottom w:val="none" w:sz="0" w:space="0" w:color="auto"/>
            <w:right w:val="none" w:sz="0" w:space="0" w:color="auto"/>
          </w:divBdr>
        </w:div>
        <w:div w:id="1052458410">
          <w:marLeft w:val="0"/>
          <w:marRight w:val="0"/>
          <w:marTop w:val="0"/>
          <w:marBottom w:val="0"/>
          <w:divBdr>
            <w:top w:val="none" w:sz="0" w:space="0" w:color="auto"/>
            <w:left w:val="none" w:sz="0" w:space="0" w:color="auto"/>
            <w:bottom w:val="none" w:sz="0" w:space="0" w:color="auto"/>
            <w:right w:val="none" w:sz="0" w:space="0" w:color="auto"/>
          </w:divBdr>
        </w:div>
        <w:div w:id="1177963112">
          <w:marLeft w:val="0"/>
          <w:marRight w:val="0"/>
          <w:marTop w:val="0"/>
          <w:marBottom w:val="0"/>
          <w:divBdr>
            <w:top w:val="none" w:sz="0" w:space="0" w:color="auto"/>
            <w:left w:val="none" w:sz="0" w:space="0" w:color="auto"/>
            <w:bottom w:val="none" w:sz="0" w:space="0" w:color="auto"/>
            <w:right w:val="none" w:sz="0" w:space="0" w:color="auto"/>
          </w:divBdr>
        </w:div>
        <w:div w:id="1273631927">
          <w:marLeft w:val="0"/>
          <w:marRight w:val="0"/>
          <w:marTop w:val="0"/>
          <w:marBottom w:val="0"/>
          <w:divBdr>
            <w:top w:val="none" w:sz="0" w:space="0" w:color="auto"/>
            <w:left w:val="none" w:sz="0" w:space="0" w:color="auto"/>
            <w:bottom w:val="none" w:sz="0" w:space="0" w:color="auto"/>
            <w:right w:val="none" w:sz="0" w:space="0" w:color="auto"/>
          </w:divBdr>
        </w:div>
        <w:div w:id="1318074353">
          <w:marLeft w:val="0"/>
          <w:marRight w:val="0"/>
          <w:marTop w:val="0"/>
          <w:marBottom w:val="0"/>
          <w:divBdr>
            <w:top w:val="none" w:sz="0" w:space="0" w:color="auto"/>
            <w:left w:val="none" w:sz="0" w:space="0" w:color="auto"/>
            <w:bottom w:val="none" w:sz="0" w:space="0" w:color="auto"/>
            <w:right w:val="none" w:sz="0" w:space="0" w:color="auto"/>
          </w:divBdr>
        </w:div>
      </w:divsChild>
    </w:div>
    <w:div w:id="1303849997">
      <w:bodyDiv w:val="1"/>
      <w:marLeft w:val="0"/>
      <w:marRight w:val="0"/>
      <w:marTop w:val="0"/>
      <w:marBottom w:val="0"/>
      <w:divBdr>
        <w:top w:val="none" w:sz="0" w:space="0" w:color="auto"/>
        <w:left w:val="none" w:sz="0" w:space="0" w:color="auto"/>
        <w:bottom w:val="none" w:sz="0" w:space="0" w:color="auto"/>
        <w:right w:val="none" w:sz="0" w:space="0" w:color="auto"/>
      </w:divBdr>
      <w:divsChild>
        <w:div w:id="486822156">
          <w:marLeft w:val="0"/>
          <w:marRight w:val="0"/>
          <w:marTop w:val="0"/>
          <w:marBottom w:val="0"/>
          <w:divBdr>
            <w:top w:val="none" w:sz="0" w:space="0" w:color="auto"/>
            <w:left w:val="none" w:sz="0" w:space="0" w:color="auto"/>
            <w:bottom w:val="none" w:sz="0" w:space="0" w:color="auto"/>
            <w:right w:val="none" w:sz="0" w:space="0" w:color="auto"/>
          </w:divBdr>
        </w:div>
        <w:div w:id="671295020">
          <w:marLeft w:val="0"/>
          <w:marRight w:val="0"/>
          <w:marTop w:val="0"/>
          <w:marBottom w:val="0"/>
          <w:divBdr>
            <w:top w:val="none" w:sz="0" w:space="0" w:color="auto"/>
            <w:left w:val="none" w:sz="0" w:space="0" w:color="auto"/>
            <w:bottom w:val="none" w:sz="0" w:space="0" w:color="auto"/>
            <w:right w:val="none" w:sz="0" w:space="0" w:color="auto"/>
          </w:divBdr>
        </w:div>
        <w:div w:id="1424298171">
          <w:marLeft w:val="0"/>
          <w:marRight w:val="0"/>
          <w:marTop w:val="0"/>
          <w:marBottom w:val="0"/>
          <w:divBdr>
            <w:top w:val="none" w:sz="0" w:space="0" w:color="auto"/>
            <w:left w:val="none" w:sz="0" w:space="0" w:color="auto"/>
            <w:bottom w:val="none" w:sz="0" w:space="0" w:color="auto"/>
            <w:right w:val="none" w:sz="0" w:space="0" w:color="auto"/>
          </w:divBdr>
        </w:div>
        <w:div w:id="1488278551">
          <w:marLeft w:val="0"/>
          <w:marRight w:val="0"/>
          <w:marTop w:val="0"/>
          <w:marBottom w:val="0"/>
          <w:divBdr>
            <w:top w:val="none" w:sz="0" w:space="0" w:color="auto"/>
            <w:left w:val="none" w:sz="0" w:space="0" w:color="auto"/>
            <w:bottom w:val="none" w:sz="0" w:space="0" w:color="auto"/>
            <w:right w:val="none" w:sz="0" w:space="0" w:color="auto"/>
          </w:divBdr>
        </w:div>
        <w:div w:id="1789659366">
          <w:marLeft w:val="0"/>
          <w:marRight w:val="0"/>
          <w:marTop w:val="0"/>
          <w:marBottom w:val="0"/>
          <w:divBdr>
            <w:top w:val="none" w:sz="0" w:space="0" w:color="auto"/>
            <w:left w:val="none" w:sz="0" w:space="0" w:color="auto"/>
            <w:bottom w:val="none" w:sz="0" w:space="0" w:color="auto"/>
            <w:right w:val="none" w:sz="0" w:space="0" w:color="auto"/>
          </w:divBdr>
        </w:div>
        <w:div w:id="1813478753">
          <w:marLeft w:val="0"/>
          <w:marRight w:val="0"/>
          <w:marTop w:val="0"/>
          <w:marBottom w:val="0"/>
          <w:divBdr>
            <w:top w:val="none" w:sz="0" w:space="0" w:color="auto"/>
            <w:left w:val="none" w:sz="0" w:space="0" w:color="auto"/>
            <w:bottom w:val="none" w:sz="0" w:space="0" w:color="auto"/>
            <w:right w:val="none" w:sz="0" w:space="0" w:color="auto"/>
          </w:divBdr>
        </w:div>
        <w:div w:id="2073383644">
          <w:marLeft w:val="0"/>
          <w:marRight w:val="0"/>
          <w:marTop w:val="0"/>
          <w:marBottom w:val="0"/>
          <w:divBdr>
            <w:top w:val="none" w:sz="0" w:space="0" w:color="auto"/>
            <w:left w:val="none" w:sz="0" w:space="0" w:color="auto"/>
            <w:bottom w:val="none" w:sz="0" w:space="0" w:color="auto"/>
            <w:right w:val="none" w:sz="0" w:space="0" w:color="auto"/>
          </w:divBdr>
        </w:div>
      </w:divsChild>
    </w:div>
    <w:div w:id="1324505987">
      <w:bodyDiv w:val="1"/>
      <w:marLeft w:val="0"/>
      <w:marRight w:val="0"/>
      <w:marTop w:val="0"/>
      <w:marBottom w:val="0"/>
      <w:divBdr>
        <w:top w:val="none" w:sz="0" w:space="0" w:color="auto"/>
        <w:left w:val="none" w:sz="0" w:space="0" w:color="auto"/>
        <w:bottom w:val="none" w:sz="0" w:space="0" w:color="auto"/>
        <w:right w:val="none" w:sz="0" w:space="0" w:color="auto"/>
      </w:divBdr>
      <w:divsChild>
        <w:div w:id="289476556">
          <w:marLeft w:val="0"/>
          <w:marRight w:val="0"/>
          <w:marTop w:val="0"/>
          <w:marBottom w:val="0"/>
          <w:divBdr>
            <w:top w:val="none" w:sz="0" w:space="0" w:color="auto"/>
            <w:left w:val="none" w:sz="0" w:space="0" w:color="auto"/>
            <w:bottom w:val="none" w:sz="0" w:space="0" w:color="auto"/>
            <w:right w:val="none" w:sz="0" w:space="0" w:color="auto"/>
          </w:divBdr>
          <w:divsChild>
            <w:div w:id="1000960908">
              <w:marLeft w:val="0"/>
              <w:marRight w:val="0"/>
              <w:marTop w:val="0"/>
              <w:marBottom w:val="0"/>
              <w:divBdr>
                <w:top w:val="none" w:sz="0" w:space="0" w:color="auto"/>
                <w:left w:val="none" w:sz="0" w:space="0" w:color="auto"/>
                <w:bottom w:val="none" w:sz="0" w:space="0" w:color="auto"/>
                <w:right w:val="none" w:sz="0" w:space="0" w:color="auto"/>
              </w:divBdr>
            </w:div>
            <w:div w:id="1286810791">
              <w:marLeft w:val="0"/>
              <w:marRight w:val="0"/>
              <w:marTop w:val="0"/>
              <w:marBottom w:val="0"/>
              <w:divBdr>
                <w:top w:val="none" w:sz="0" w:space="0" w:color="auto"/>
                <w:left w:val="none" w:sz="0" w:space="0" w:color="auto"/>
                <w:bottom w:val="none" w:sz="0" w:space="0" w:color="auto"/>
                <w:right w:val="none" w:sz="0" w:space="0" w:color="auto"/>
              </w:divBdr>
            </w:div>
            <w:div w:id="1720664417">
              <w:marLeft w:val="0"/>
              <w:marRight w:val="0"/>
              <w:marTop w:val="0"/>
              <w:marBottom w:val="0"/>
              <w:divBdr>
                <w:top w:val="none" w:sz="0" w:space="0" w:color="auto"/>
                <w:left w:val="none" w:sz="0" w:space="0" w:color="auto"/>
                <w:bottom w:val="none" w:sz="0" w:space="0" w:color="auto"/>
                <w:right w:val="none" w:sz="0" w:space="0" w:color="auto"/>
              </w:divBdr>
            </w:div>
            <w:div w:id="1922638049">
              <w:marLeft w:val="0"/>
              <w:marRight w:val="0"/>
              <w:marTop w:val="0"/>
              <w:marBottom w:val="0"/>
              <w:divBdr>
                <w:top w:val="none" w:sz="0" w:space="0" w:color="auto"/>
                <w:left w:val="none" w:sz="0" w:space="0" w:color="auto"/>
                <w:bottom w:val="none" w:sz="0" w:space="0" w:color="auto"/>
                <w:right w:val="none" w:sz="0" w:space="0" w:color="auto"/>
              </w:divBdr>
            </w:div>
          </w:divsChild>
        </w:div>
        <w:div w:id="416051737">
          <w:marLeft w:val="0"/>
          <w:marRight w:val="0"/>
          <w:marTop w:val="0"/>
          <w:marBottom w:val="0"/>
          <w:divBdr>
            <w:top w:val="none" w:sz="0" w:space="0" w:color="auto"/>
            <w:left w:val="none" w:sz="0" w:space="0" w:color="auto"/>
            <w:bottom w:val="none" w:sz="0" w:space="0" w:color="auto"/>
            <w:right w:val="none" w:sz="0" w:space="0" w:color="auto"/>
          </w:divBdr>
        </w:div>
        <w:div w:id="452601236">
          <w:marLeft w:val="0"/>
          <w:marRight w:val="0"/>
          <w:marTop w:val="0"/>
          <w:marBottom w:val="0"/>
          <w:divBdr>
            <w:top w:val="none" w:sz="0" w:space="0" w:color="auto"/>
            <w:left w:val="none" w:sz="0" w:space="0" w:color="auto"/>
            <w:bottom w:val="none" w:sz="0" w:space="0" w:color="auto"/>
            <w:right w:val="none" w:sz="0" w:space="0" w:color="auto"/>
          </w:divBdr>
        </w:div>
        <w:div w:id="1742171004">
          <w:marLeft w:val="0"/>
          <w:marRight w:val="0"/>
          <w:marTop w:val="0"/>
          <w:marBottom w:val="0"/>
          <w:divBdr>
            <w:top w:val="none" w:sz="0" w:space="0" w:color="auto"/>
            <w:left w:val="none" w:sz="0" w:space="0" w:color="auto"/>
            <w:bottom w:val="none" w:sz="0" w:space="0" w:color="auto"/>
            <w:right w:val="none" w:sz="0" w:space="0" w:color="auto"/>
          </w:divBdr>
        </w:div>
      </w:divsChild>
    </w:div>
    <w:div w:id="1336807500">
      <w:bodyDiv w:val="1"/>
      <w:marLeft w:val="0"/>
      <w:marRight w:val="0"/>
      <w:marTop w:val="0"/>
      <w:marBottom w:val="0"/>
      <w:divBdr>
        <w:top w:val="none" w:sz="0" w:space="0" w:color="auto"/>
        <w:left w:val="none" w:sz="0" w:space="0" w:color="auto"/>
        <w:bottom w:val="none" w:sz="0" w:space="0" w:color="auto"/>
        <w:right w:val="none" w:sz="0" w:space="0" w:color="auto"/>
      </w:divBdr>
      <w:divsChild>
        <w:div w:id="201408219">
          <w:marLeft w:val="0"/>
          <w:marRight w:val="0"/>
          <w:marTop w:val="0"/>
          <w:marBottom w:val="0"/>
          <w:divBdr>
            <w:top w:val="none" w:sz="0" w:space="0" w:color="auto"/>
            <w:left w:val="none" w:sz="0" w:space="0" w:color="auto"/>
            <w:bottom w:val="none" w:sz="0" w:space="0" w:color="auto"/>
            <w:right w:val="none" w:sz="0" w:space="0" w:color="auto"/>
          </w:divBdr>
        </w:div>
        <w:div w:id="232547552">
          <w:marLeft w:val="0"/>
          <w:marRight w:val="0"/>
          <w:marTop w:val="0"/>
          <w:marBottom w:val="0"/>
          <w:divBdr>
            <w:top w:val="none" w:sz="0" w:space="0" w:color="auto"/>
            <w:left w:val="none" w:sz="0" w:space="0" w:color="auto"/>
            <w:bottom w:val="none" w:sz="0" w:space="0" w:color="auto"/>
            <w:right w:val="none" w:sz="0" w:space="0" w:color="auto"/>
          </w:divBdr>
        </w:div>
        <w:div w:id="868491425">
          <w:marLeft w:val="0"/>
          <w:marRight w:val="0"/>
          <w:marTop w:val="0"/>
          <w:marBottom w:val="0"/>
          <w:divBdr>
            <w:top w:val="none" w:sz="0" w:space="0" w:color="auto"/>
            <w:left w:val="none" w:sz="0" w:space="0" w:color="auto"/>
            <w:bottom w:val="none" w:sz="0" w:space="0" w:color="auto"/>
            <w:right w:val="none" w:sz="0" w:space="0" w:color="auto"/>
          </w:divBdr>
        </w:div>
        <w:div w:id="873005145">
          <w:marLeft w:val="0"/>
          <w:marRight w:val="0"/>
          <w:marTop w:val="0"/>
          <w:marBottom w:val="0"/>
          <w:divBdr>
            <w:top w:val="none" w:sz="0" w:space="0" w:color="auto"/>
            <w:left w:val="none" w:sz="0" w:space="0" w:color="auto"/>
            <w:bottom w:val="none" w:sz="0" w:space="0" w:color="auto"/>
            <w:right w:val="none" w:sz="0" w:space="0" w:color="auto"/>
          </w:divBdr>
        </w:div>
        <w:div w:id="919216949">
          <w:marLeft w:val="0"/>
          <w:marRight w:val="0"/>
          <w:marTop w:val="0"/>
          <w:marBottom w:val="0"/>
          <w:divBdr>
            <w:top w:val="none" w:sz="0" w:space="0" w:color="auto"/>
            <w:left w:val="none" w:sz="0" w:space="0" w:color="auto"/>
            <w:bottom w:val="none" w:sz="0" w:space="0" w:color="auto"/>
            <w:right w:val="none" w:sz="0" w:space="0" w:color="auto"/>
          </w:divBdr>
        </w:div>
        <w:div w:id="995571749">
          <w:marLeft w:val="0"/>
          <w:marRight w:val="0"/>
          <w:marTop w:val="0"/>
          <w:marBottom w:val="0"/>
          <w:divBdr>
            <w:top w:val="none" w:sz="0" w:space="0" w:color="auto"/>
            <w:left w:val="none" w:sz="0" w:space="0" w:color="auto"/>
            <w:bottom w:val="none" w:sz="0" w:space="0" w:color="auto"/>
            <w:right w:val="none" w:sz="0" w:space="0" w:color="auto"/>
          </w:divBdr>
        </w:div>
        <w:div w:id="1522010788">
          <w:marLeft w:val="0"/>
          <w:marRight w:val="0"/>
          <w:marTop w:val="0"/>
          <w:marBottom w:val="0"/>
          <w:divBdr>
            <w:top w:val="none" w:sz="0" w:space="0" w:color="auto"/>
            <w:left w:val="none" w:sz="0" w:space="0" w:color="auto"/>
            <w:bottom w:val="none" w:sz="0" w:space="0" w:color="auto"/>
            <w:right w:val="none" w:sz="0" w:space="0" w:color="auto"/>
          </w:divBdr>
        </w:div>
        <w:div w:id="1603537592">
          <w:marLeft w:val="0"/>
          <w:marRight w:val="0"/>
          <w:marTop w:val="0"/>
          <w:marBottom w:val="0"/>
          <w:divBdr>
            <w:top w:val="none" w:sz="0" w:space="0" w:color="auto"/>
            <w:left w:val="none" w:sz="0" w:space="0" w:color="auto"/>
            <w:bottom w:val="none" w:sz="0" w:space="0" w:color="auto"/>
            <w:right w:val="none" w:sz="0" w:space="0" w:color="auto"/>
          </w:divBdr>
        </w:div>
        <w:div w:id="1605727555">
          <w:marLeft w:val="0"/>
          <w:marRight w:val="0"/>
          <w:marTop w:val="0"/>
          <w:marBottom w:val="0"/>
          <w:divBdr>
            <w:top w:val="none" w:sz="0" w:space="0" w:color="auto"/>
            <w:left w:val="none" w:sz="0" w:space="0" w:color="auto"/>
            <w:bottom w:val="none" w:sz="0" w:space="0" w:color="auto"/>
            <w:right w:val="none" w:sz="0" w:space="0" w:color="auto"/>
          </w:divBdr>
        </w:div>
        <w:div w:id="1658656361">
          <w:marLeft w:val="0"/>
          <w:marRight w:val="0"/>
          <w:marTop w:val="0"/>
          <w:marBottom w:val="0"/>
          <w:divBdr>
            <w:top w:val="none" w:sz="0" w:space="0" w:color="auto"/>
            <w:left w:val="none" w:sz="0" w:space="0" w:color="auto"/>
            <w:bottom w:val="none" w:sz="0" w:space="0" w:color="auto"/>
            <w:right w:val="none" w:sz="0" w:space="0" w:color="auto"/>
          </w:divBdr>
        </w:div>
        <w:div w:id="1662006058">
          <w:marLeft w:val="0"/>
          <w:marRight w:val="0"/>
          <w:marTop w:val="0"/>
          <w:marBottom w:val="0"/>
          <w:divBdr>
            <w:top w:val="none" w:sz="0" w:space="0" w:color="auto"/>
            <w:left w:val="none" w:sz="0" w:space="0" w:color="auto"/>
            <w:bottom w:val="none" w:sz="0" w:space="0" w:color="auto"/>
            <w:right w:val="none" w:sz="0" w:space="0" w:color="auto"/>
          </w:divBdr>
        </w:div>
        <w:div w:id="1847594819">
          <w:marLeft w:val="0"/>
          <w:marRight w:val="0"/>
          <w:marTop w:val="0"/>
          <w:marBottom w:val="0"/>
          <w:divBdr>
            <w:top w:val="none" w:sz="0" w:space="0" w:color="auto"/>
            <w:left w:val="none" w:sz="0" w:space="0" w:color="auto"/>
            <w:bottom w:val="none" w:sz="0" w:space="0" w:color="auto"/>
            <w:right w:val="none" w:sz="0" w:space="0" w:color="auto"/>
          </w:divBdr>
        </w:div>
        <w:div w:id="2012567347">
          <w:marLeft w:val="0"/>
          <w:marRight w:val="0"/>
          <w:marTop w:val="0"/>
          <w:marBottom w:val="0"/>
          <w:divBdr>
            <w:top w:val="none" w:sz="0" w:space="0" w:color="auto"/>
            <w:left w:val="none" w:sz="0" w:space="0" w:color="auto"/>
            <w:bottom w:val="none" w:sz="0" w:space="0" w:color="auto"/>
            <w:right w:val="none" w:sz="0" w:space="0" w:color="auto"/>
          </w:divBdr>
        </w:div>
        <w:div w:id="2131362487">
          <w:marLeft w:val="0"/>
          <w:marRight w:val="0"/>
          <w:marTop w:val="0"/>
          <w:marBottom w:val="0"/>
          <w:divBdr>
            <w:top w:val="none" w:sz="0" w:space="0" w:color="auto"/>
            <w:left w:val="none" w:sz="0" w:space="0" w:color="auto"/>
            <w:bottom w:val="none" w:sz="0" w:space="0" w:color="auto"/>
            <w:right w:val="none" w:sz="0" w:space="0" w:color="auto"/>
          </w:divBdr>
          <w:divsChild>
            <w:div w:id="115878431">
              <w:marLeft w:val="-75"/>
              <w:marRight w:val="0"/>
              <w:marTop w:val="30"/>
              <w:marBottom w:val="30"/>
              <w:divBdr>
                <w:top w:val="none" w:sz="0" w:space="0" w:color="auto"/>
                <w:left w:val="none" w:sz="0" w:space="0" w:color="auto"/>
                <w:bottom w:val="none" w:sz="0" w:space="0" w:color="auto"/>
                <w:right w:val="none" w:sz="0" w:space="0" w:color="auto"/>
              </w:divBdr>
              <w:divsChild>
                <w:div w:id="181550576">
                  <w:marLeft w:val="0"/>
                  <w:marRight w:val="0"/>
                  <w:marTop w:val="0"/>
                  <w:marBottom w:val="0"/>
                  <w:divBdr>
                    <w:top w:val="none" w:sz="0" w:space="0" w:color="auto"/>
                    <w:left w:val="none" w:sz="0" w:space="0" w:color="auto"/>
                    <w:bottom w:val="none" w:sz="0" w:space="0" w:color="auto"/>
                    <w:right w:val="none" w:sz="0" w:space="0" w:color="auto"/>
                  </w:divBdr>
                  <w:divsChild>
                    <w:div w:id="369383853">
                      <w:marLeft w:val="0"/>
                      <w:marRight w:val="0"/>
                      <w:marTop w:val="0"/>
                      <w:marBottom w:val="0"/>
                      <w:divBdr>
                        <w:top w:val="none" w:sz="0" w:space="0" w:color="auto"/>
                        <w:left w:val="none" w:sz="0" w:space="0" w:color="auto"/>
                        <w:bottom w:val="none" w:sz="0" w:space="0" w:color="auto"/>
                        <w:right w:val="none" w:sz="0" w:space="0" w:color="auto"/>
                      </w:divBdr>
                    </w:div>
                    <w:div w:id="1916668155">
                      <w:marLeft w:val="0"/>
                      <w:marRight w:val="0"/>
                      <w:marTop w:val="0"/>
                      <w:marBottom w:val="0"/>
                      <w:divBdr>
                        <w:top w:val="none" w:sz="0" w:space="0" w:color="auto"/>
                        <w:left w:val="none" w:sz="0" w:space="0" w:color="auto"/>
                        <w:bottom w:val="none" w:sz="0" w:space="0" w:color="auto"/>
                        <w:right w:val="none" w:sz="0" w:space="0" w:color="auto"/>
                      </w:divBdr>
                    </w:div>
                  </w:divsChild>
                </w:div>
                <w:div w:id="389422039">
                  <w:marLeft w:val="0"/>
                  <w:marRight w:val="0"/>
                  <w:marTop w:val="0"/>
                  <w:marBottom w:val="0"/>
                  <w:divBdr>
                    <w:top w:val="none" w:sz="0" w:space="0" w:color="auto"/>
                    <w:left w:val="none" w:sz="0" w:space="0" w:color="auto"/>
                    <w:bottom w:val="none" w:sz="0" w:space="0" w:color="auto"/>
                    <w:right w:val="none" w:sz="0" w:space="0" w:color="auto"/>
                  </w:divBdr>
                  <w:divsChild>
                    <w:div w:id="1078985235">
                      <w:marLeft w:val="0"/>
                      <w:marRight w:val="0"/>
                      <w:marTop w:val="0"/>
                      <w:marBottom w:val="0"/>
                      <w:divBdr>
                        <w:top w:val="none" w:sz="0" w:space="0" w:color="auto"/>
                        <w:left w:val="none" w:sz="0" w:space="0" w:color="auto"/>
                        <w:bottom w:val="none" w:sz="0" w:space="0" w:color="auto"/>
                        <w:right w:val="none" w:sz="0" w:space="0" w:color="auto"/>
                      </w:divBdr>
                    </w:div>
                  </w:divsChild>
                </w:div>
                <w:div w:id="1009216163">
                  <w:marLeft w:val="0"/>
                  <w:marRight w:val="0"/>
                  <w:marTop w:val="0"/>
                  <w:marBottom w:val="0"/>
                  <w:divBdr>
                    <w:top w:val="none" w:sz="0" w:space="0" w:color="auto"/>
                    <w:left w:val="none" w:sz="0" w:space="0" w:color="auto"/>
                    <w:bottom w:val="none" w:sz="0" w:space="0" w:color="auto"/>
                    <w:right w:val="none" w:sz="0" w:space="0" w:color="auto"/>
                  </w:divBdr>
                  <w:divsChild>
                    <w:div w:id="271396852">
                      <w:marLeft w:val="0"/>
                      <w:marRight w:val="0"/>
                      <w:marTop w:val="0"/>
                      <w:marBottom w:val="0"/>
                      <w:divBdr>
                        <w:top w:val="none" w:sz="0" w:space="0" w:color="auto"/>
                        <w:left w:val="none" w:sz="0" w:space="0" w:color="auto"/>
                        <w:bottom w:val="none" w:sz="0" w:space="0" w:color="auto"/>
                        <w:right w:val="none" w:sz="0" w:space="0" w:color="auto"/>
                      </w:divBdr>
                    </w:div>
                    <w:div w:id="952517494">
                      <w:marLeft w:val="0"/>
                      <w:marRight w:val="0"/>
                      <w:marTop w:val="0"/>
                      <w:marBottom w:val="0"/>
                      <w:divBdr>
                        <w:top w:val="none" w:sz="0" w:space="0" w:color="auto"/>
                        <w:left w:val="none" w:sz="0" w:space="0" w:color="auto"/>
                        <w:bottom w:val="none" w:sz="0" w:space="0" w:color="auto"/>
                        <w:right w:val="none" w:sz="0" w:space="0" w:color="auto"/>
                      </w:divBdr>
                    </w:div>
                  </w:divsChild>
                </w:div>
                <w:div w:id="1803890013">
                  <w:marLeft w:val="0"/>
                  <w:marRight w:val="0"/>
                  <w:marTop w:val="0"/>
                  <w:marBottom w:val="0"/>
                  <w:divBdr>
                    <w:top w:val="none" w:sz="0" w:space="0" w:color="auto"/>
                    <w:left w:val="none" w:sz="0" w:space="0" w:color="auto"/>
                    <w:bottom w:val="none" w:sz="0" w:space="0" w:color="auto"/>
                    <w:right w:val="none" w:sz="0" w:space="0" w:color="auto"/>
                  </w:divBdr>
                  <w:divsChild>
                    <w:div w:id="711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528182">
      <w:bodyDiv w:val="1"/>
      <w:marLeft w:val="0"/>
      <w:marRight w:val="0"/>
      <w:marTop w:val="0"/>
      <w:marBottom w:val="0"/>
      <w:divBdr>
        <w:top w:val="none" w:sz="0" w:space="0" w:color="auto"/>
        <w:left w:val="none" w:sz="0" w:space="0" w:color="auto"/>
        <w:bottom w:val="none" w:sz="0" w:space="0" w:color="auto"/>
        <w:right w:val="none" w:sz="0" w:space="0" w:color="auto"/>
      </w:divBdr>
      <w:divsChild>
        <w:div w:id="141242216">
          <w:marLeft w:val="0"/>
          <w:marRight w:val="0"/>
          <w:marTop w:val="0"/>
          <w:marBottom w:val="0"/>
          <w:divBdr>
            <w:top w:val="none" w:sz="0" w:space="0" w:color="auto"/>
            <w:left w:val="none" w:sz="0" w:space="0" w:color="auto"/>
            <w:bottom w:val="none" w:sz="0" w:space="0" w:color="auto"/>
            <w:right w:val="none" w:sz="0" w:space="0" w:color="auto"/>
          </w:divBdr>
        </w:div>
        <w:div w:id="981082981">
          <w:marLeft w:val="0"/>
          <w:marRight w:val="0"/>
          <w:marTop w:val="0"/>
          <w:marBottom w:val="0"/>
          <w:divBdr>
            <w:top w:val="none" w:sz="0" w:space="0" w:color="auto"/>
            <w:left w:val="none" w:sz="0" w:space="0" w:color="auto"/>
            <w:bottom w:val="none" w:sz="0" w:space="0" w:color="auto"/>
            <w:right w:val="none" w:sz="0" w:space="0" w:color="auto"/>
          </w:divBdr>
        </w:div>
        <w:div w:id="999574071">
          <w:marLeft w:val="0"/>
          <w:marRight w:val="0"/>
          <w:marTop w:val="0"/>
          <w:marBottom w:val="0"/>
          <w:divBdr>
            <w:top w:val="none" w:sz="0" w:space="0" w:color="auto"/>
            <w:left w:val="none" w:sz="0" w:space="0" w:color="auto"/>
            <w:bottom w:val="none" w:sz="0" w:space="0" w:color="auto"/>
            <w:right w:val="none" w:sz="0" w:space="0" w:color="auto"/>
          </w:divBdr>
        </w:div>
        <w:div w:id="2124955045">
          <w:marLeft w:val="0"/>
          <w:marRight w:val="0"/>
          <w:marTop w:val="0"/>
          <w:marBottom w:val="0"/>
          <w:divBdr>
            <w:top w:val="none" w:sz="0" w:space="0" w:color="auto"/>
            <w:left w:val="none" w:sz="0" w:space="0" w:color="auto"/>
            <w:bottom w:val="none" w:sz="0" w:space="0" w:color="auto"/>
            <w:right w:val="none" w:sz="0" w:space="0" w:color="auto"/>
          </w:divBdr>
        </w:div>
      </w:divsChild>
    </w:div>
    <w:div w:id="1373455200">
      <w:bodyDiv w:val="1"/>
      <w:marLeft w:val="0"/>
      <w:marRight w:val="0"/>
      <w:marTop w:val="0"/>
      <w:marBottom w:val="0"/>
      <w:divBdr>
        <w:top w:val="none" w:sz="0" w:space="0" w:color="auto"/>
        <w:left w:val="none" w:sz="0" w:space="0" w:color="auto"/>
        <w:bottom w:val="none" w:sz="0" w:space="0" w:color="auto"/>
        <w:right w:val="none" w:sz="0" w:space="0" w:color="auto"/>
      </w:divBdr>
      <w:divsChild>
        <w:div w:id="189228557">
          <w:marLeft w:val="0"/>
          <w:marRight w:val="0"/>
          <w:marTop w:val="0"/>
          <w:marBottom w:val="0"/>
          <w:divBdr>
            <w:top w:val="none" w:sz="0" w:space="0" w:color="auto"/>
            <w:left w:val="none" w:sz="0" w:space="0" w:color="auto"/>
            <w:bottom w:val="none" w:sz="0" w:space="0" w:color="auto"/>
            <w:right w:val="none" w:sz="0" w:space="0" w:color="auto"/>
          </w:divBdr>
        </w:div>
        <w:div w:id="447352585">
          <w:marLeft w:val="0"/>
          <w:marRight w:val="0"/>
          <w:marTop w:val="0"/>
          <w:marBottom w:val="0"/>
          <w:divBdr>
            <w:top w:val="none" w:sz="0" w:space="0" w:color="auto"/>
            <w:left w:val="none" w:sz="0" w:space="0" w:color="auto"/>
            <w:bottom w:val="none" w:sz="0" w:space="0" w:color="auto"/>
            <w:right w:val="none" w:sz="0" w:space="0" w:color="auto"/>
          </w:divBdr>
        </w:div>
        <w:div w:id="544148575">
          <w:marLeft w:val="0"/>
          <w:marRight w:val="0"/>
          <w:marTop w:val="0"/>
          <w:marBottom w:val="0"/>
          <w:divBdr>
            <w:top w:val="none" w:sz="0" w:space="0" w:color="auto"/>
            <w:left w:val="none" w:sz="0" w:space="0" w:color="auto"/>
            <w:bottom w:val="none" w:sz="0" w:space="0" w:color="auto"/>
            <w:right w:val="none" w:sz="0" w:space="0" w:color="auto"/>
          </w:divBdr>
        </w:div>
        <w:div w:id="829980301">
          <w:marLeft w:val="0"/>
          <w:marRight w:val="0"/>
          <w:marTop w:val="0"/>
          <w:marBottom w:val="0"/>
          <w:divBdr>
            <w:top w:val="none" w:sz="0" w:space="0" w:color="auto"/>
            <w:left w:val="none" w:sz="0" w:space="0" w:color="auto"/>
            <w:bottom w:val="none" w:sz="0" w:space="0" w:color="auto"/>
            <w:right w:val="none" w:sz="0" w:space="0" w:color="auto"/>
          </w:divBdr>
        </w:div>
        <w:div w:id="975179477">
          <w:marLeft w:val="0"/>
          <w:marRight w:val="0"/>
          <w:marTop w:val="0"/>
          <w:marBottom w:val="0"/>
          <w:divBdr>
            <w:top w:val="none" w:sz="0" w:space="0" w:color="auto"/>
            <w:left w:val="none" w:sz="0" w:space="0" w:color="auto"/>
            <w:bottom w:val="none" w:sz="0" w:space="0" w:color="auto"/>
            <w:right w:val="none" w:sz="0" w:space="0" w:color="auto"/>
          </w:divBdr>
        </w:div>
        <w:div w:id="1271667524">
          <w:marLeft w:val="0"/>
          <w:marRight w:val="0"/>
          <w:marTop w:val="0"/>
          <w:marBottom w:val="0"/>
          <w:divBdr>
            <w:top w:val="none" w:sz="0" w:space="0" w:color="auto"/>
            <w:left w:val="none" w:sz="0" w:space="0" w:color="auto"/>
            <w:bottom w:val="none" w:sz="0" w:space="0" w:color="auto"/>
            <w:right w:val="none" w:sz="0" w:space="0" w:color="auto"/>
          </w:divBdr>
        </w:div>
        <w:div w:id="1439569672">
          <w:marLeft w:val="0"/>
          <w:marRight w:val="0"/>
          <w:marTop w:val="0"/>
          <w:marBottom w:val="0"/>
          <w:divBdr>
            <w:top w:val="none" w:sz="0" w:space="0" w:color="auto"/>
            <w:left w:val="none" w:sz="0" w:space="0" w:color="auto"/>
            <w:bottom w:val="none" w:sz="0" w:space="0" w:color="auto"/>
            <w:right w:val="none" w:sz="0" w:space="0" w:color="auto"/>
          </w:divBdr>
        </w:div>
        <w:div w:id="1851672977">
          <w:marLeft w:val="0"/>
          <w:marRight w:val="0"/>
          <w:marTop w:val="0"/>
          <w:marBottom w:val="0"/>
          <w:divBdr>
            <w:top w:val="none" w:sz="0" w:space="0" w:color="auto"/>
            <w:left w:val="none" w:sz="0" w:space="0" w:color="auto"/>
            <w:bottom w:val="none" w:sz="0" w:space="0" w:color="auto"/>
            <w:right w:val="none" w:sz="0" w:space="0" w:color="auto"/>
          </w:divBdr>
          <w:divsChild>
            <w:div w:id="753890862">
              <w:marLeft w:val="0"/>
              <w:marRight w:val="0"/>
              <w:marTop w:val="0"/>
              <w:marBottom w:val="0"/>
              <w:divBdr>
                <w:top w:val="none" w:sz="0" w:space="0" w:color="auto"/>
                <w:left w:val="none" w:sz="0" w:space="0" w:color="auto"/>
                <w:bottom w:val="none" w:sz="0" w:space="0" w:color="auto"/>
                <w:right w:val="none" w:sz="0" w:space="0" w:color="auto"/>
              </w:divBdr>
            </w:div>
            <w:div w:id="761413163">
              <w:marLeft w:val="0"/>
              <w:marRight w:val="0"/>
              <w:marTop w:val="0"/>
              <w:marBottom w:val="0"/>
              <w:divBdr>
                <w:top w:val="none" w:sz="0" w:space="0" w:color="auto"/>
                <w:left w:val="none" w:sz="0" w:space="0" w:color="auto"/>
                <w:bottom w:val="none" w:sz="0" w:space="0" w:color="auto"/>
                <w:right w:val="none" w:sz="0" w:space="0" w:color="auto"/>
              </w:divBdr>
            </w:div>
            <w:div w:id="1803115391">
              <w:marLeft w:val="0"/>
              <w:marRight w:val="0"/>
              <w:marTop w:val="0"/>
              <w:marBottom w:val="0"/>
              <w:divBdr>
                <w:top w:val="none" w:sz="0" w:space="0" w:color="auto"/>
                <w:left w:val="none" w:sz="0" w:space="0" w:color="auto"/>
                <w:bottom w:val="none" w:sz="0" w:space="0" w:color="auto"/>
                <w:right w:val="none" w:sz="0" w:space="0" w:color="auto"/>
              </w:divBdr>
            </w:div>
            <w:div w:id="1966694276">
              <w:marLeft w:val="0"/>
              <w:marRight w:val="0"/>
              <w:marTop w:val="0"/>
              <w:marBottom w:val="0"/>
              <w:divBdr>
                <w:top w:val="none" w:sz="0" w:space="0" w:color="auto"/>
                <w:left w:val="none" w:sz="0" w:space="0" w:color="auto"/>
                <w:bottom w:val="none" w:sz="0" w:space="0" w:color="auto"/>
                <w:right w:val="none" w:sz="0" w:space="0" w:color="auto"/>
              </w:divBdr>
            </w:div>
          </w:divsChild>
        </w:div>
        <w:div w:id="1926065892">
          <w:marLeft w:val="0"/>
          <w:marRight w:val="0"/>
          <w:marTop w:val="0"/>
          <w:marBottom w:val="0"/>
          <w:divBdr>
            <w:top w:val="none" w:sz="0" w:space="0" w:color="auto"/>
            <w:left w:val="none" w:sz="0" w:space="0" w:color="auto"/>
            <w:bottom w:val="none" w:sz="0" w:space="0" w:color="auto"/>
            <w:right w:val="none" w:sz="0" w:space="0" w:color="auto"/>
          </w:divBdr>
        </w:div>
        <w:div w:id="2146508957">
          <w:marLeft w:val="0"/>
          <w:marRight w:val="0"/>
          <w:marTop w:val="0"/>
          <w:marBottom w:val="0"/>
          <w:divBdr>
            <w:top w:val="none" w:sz="0" w:space="0" w:color="auto"/>
            <w:left w:val="none" w:sz="0" w:space="0" w:color="auto"/>
            <w:bottom w:val="none" w:sz="0" w:space="0" w:color="auto"/>
            <w:right w:val="none" w:sz="0" w:space="0" w:color="auto"/>
          </w:divBdr>
        </w:div>
      </w:divsChild>
    </w:div>
    <w:div w:id="1374692855">
      <w:bodyDiv w:val="1"/>
      <w:marLeft w:val="0"/>
      <w:marRight w:val="0"/>
      <w:marTop w:val="0"/>
      <w:marBottom w:val="0"/>
      <w:divBdr>
        <w:top w:val="none" w:sz="0" w:space="0" w:color="auto"/>
        <w:left w:val="none" w:sz="0" w:space="0" w:color="auto"/>
        <w:bottom w:val="none" w:sz="0" w:space="0" w:color="auto"/>
        <w:right w:val="none" w:sz="0" w:space="0" w:color="auto"/>
      </w:divBdr>
    </w:div>
    <w:div w:id="1384479316">
      <w:bodyDiv w:val="1"/>
      <w:marLeft w:val="0"/>
      <w:marRight w:val="0"/>
      <w:marTop w:val="0"/>
      <w:marBottom w:val="0"/>
      <w:divBdr>
        <w:top w:val="none" w:sz="0" w:space="0" w:color="auto"/>
        <w:left w:val="none" w:sz="0" w:space="0" w:color="auto"/>
        <w:bottom w:val="none" w:sz="0" w:space="0" w:color="auto"/>
        <w:right w:val="none" w:sz="0" w:space="0" w:color="auto"/>
      </w:divBdr>
      <w:divsChild>
        <w:div w:id="27265601">
          <w:marLeft w:val="0"/>
          <w:marRight w:val="0"/>
          <w:marTop w:val="0"/>
          <w:marBottom w:val="0"/>
          <w:divBdr>
            <w:top w:val="none" w:sz="0" w:space="0" w:color="auto"/>
            <w:left w:val="none" w:sz="0" w:space="0" w:color="auto"/>
            <w:bottom w:val="none" w:sz="0" w:space="0" w:color="auto"/>
            <w:right w:val="none" w:sz="0" w:space="0" w:color="auto"/>
          </w:divBdr>
        </w:div>
        <w:div w:id="321782639">
          <w:marLeft w:val="0"/>
          <w:marRight w:val="0"/>
          <w:marTop w:val="0"/>
          <w:marBottom w:val="0"/>
          <w:divBdr>
            <w:top w:val="none" w:sz="0" w:space="0" w:color="auto"/>
            <w:left w:val="none" w:sz="0" w:space="0" w:color="auto"/>
            <w:bottom w:val="none" w:sz="0" w:space="0" w:color="auto"/>
            <w:right w:val="none" w:sz="0" w:space="0" w:color="auto"/>
          </w:divBdr>
        </w:div>
        <w:div w:id="857474205">
          <w:marLeft w:val="0"/>
          <w:marRight w:val="0"/>
          <w:marTop w:val="0"/>
          <w:marBottom w:val="0"/>
          <w:divBdr>
            <w:top w:val="none" w:sz="0" w:space="0" w:color="auto"/>
            <w:left w:val="none" w:sz="0" w:space="0" w:color="auto"/>
            <w:bottom w:val="none" w:sz="0" w:space="0" w:color="auto"/>
            <w:right w:val="none" w:sz="0" w:space="0" w:color="auto"/>
          </w:divBdr>
        </w:div>
        <w:div w:id="1171136995">
          <w:marLeft w:val="0"/>
          <w:marRight w:val="0"/>
          <w:marTop w:val="0"/>
          <w:marBottom w:val="0"/>
          <w:divBdr>
            <w:top w:val="none" w:sz="0" w:space="0" w:color="auto"/>
            <w:left w:val="none" w:sz="0" w:space="0" w:color="auto"/>
            <w:bottom w:val="none" w:sz="0" w:space="0" w:color="auto"/>
            <w:right w:val="none" w:sz="0" w:space="0" w:color="auto"/>
          </w:divBdr>
        </w:div>
        <w:div w:id="1958637677">
          <w:marLeft w:val="0"/>
          <w:marRight w:val="0"/>
          <w:marTop w:val="0"/>
          <w:marBottom w:val="0"/>
          <w:divBdr>
            <w:top w:val="none" w:sz="0" w:space="0" w:color="auto"/>
            <w:left w:val="none" w:sz="0" w:space="0" w:color="auto"/>
            <w:bottom w:val="none" w:sz="0" w:space="0" w:color="auto"/>
            <w:right w:val="none" w:sz="0" w:space="0" w:color="auto"/>
          </w:divBdr>
        </w:div>
        <w:div w:id="1984849166">
          <w:marLeft w:val="0"/>
          <w:marRight w:val="0"/>
          <w:marTop w:val="0"/>
          <w:marBottom w:val="0"/>
          <w:divBdr>
            <w:top w:val="none" w:sz="0" w:space="0" w:color="auto"/>
            <w:left w:val="none" w:sz="0" w:space="0" w:color="auto"/>
            <w:bottom w:val="none" w:sz="0" w:space="0" w:color="auto"/>
            <w:right w:val="none" w:sz="0" w:space="0" w:color="auto"/>
          </w:divBdr>
        </w:div>
        <w:div w:id="2120371220">
          <w:marLeft w:val="0"/>
          <w:marRight w:val="0"/>
          <w:marTop w:val="0"/>
          <w:marBottom w:val="0"/>
          <w:divBdr>
            <w:top w:val="none" w:sz="0" w:space="0" w:color="auto"/>
            <w:left w:val="none" w:sz="0" w:space="0" w:color="auto"/>
            <w:bottom w:val="none" w:sz="0" w:space="0" w:color="auto"/>
            <w:right w:val="none" w:sz="0" w:space="0" w:color="auto"/>
          </w:divBdr>
        </w:div>
      </w:divsChild>
    </w:div>
    <w:div w:id="1387796873">
      <w:bodyDiv w:val="1"/>
      <w:marLeft w:val="0"/>
      <w:marRight w:val="0"/>
      <w:marTop w:val="0"/>
      <w:marBottom w:val="0"/>
      <w:divBdr>
        <w:top w:val="none" w:sz="0" w:space="0" w:color="auto"/>
        <w:left w:val="none" w:sz="0" w:space="0" w:color="auto"/>
        <w:bottom w:val="none" w:sz="0" w:space="0" w:color="auto"/>
        <w:right w:val="none" w:sz="0" w:space="0" w:color="auto"/>
      </w:divBdr>
      <w:divsChild>
        <w:div w:id="255526244">
          <w:marLeft w:val="0"/>
          <w:marRight w:val="0"/>
          <w:marTop w:val="0"/>
          <w:marBottom w:val="0"/>
          <w:divBdr>
            <w:top w:val="none" w:sz="0" w:space="0" w:color="auto"/>
            <w:left w:val="none" w:sz="0" w:space="0" w:color="auto"/>
            <w:bottom w:val="none" w:sz="0" w:space="0" w:color="auto"/>
            <w:right w:val="none" w:sz="0" w:space="0" w:color="auto"/>
          </w:divBdr>
        </w:div>
        <w:div w:id="319771835">
          <w:marLeft w:val="0"/>
          <w:marRight w:val="0"/>
          <w:marTop w:val="0"/>
          <w:marBottom w:val="0"/>
          <w:divBdr>
            <w:top w:val="none" w:sz="0" w:space="0" w:color="auto"/>
            <w:left w:val="none" w:sz="0" w:space="0" w:color="auto"/>
            <w:bottom w:val="none" w:sz="0" w:space="0" w:color="auto"/>
            <w:right w:val="none" w:sz="0" w:space="0" w:color="auto"/>
          </w:divBdr>
        </w:div>
        <w:div w:id="528567350">
          <w:marLeft w:val="0"/>
          <w:marRight w:val="0"/>
          <w:marTop w:val="0"/>
          <w:marBottom w:val="0"/>
          <w:divBdr>
            <w:top w:val="none" w:sz="0" w:space="0" w:color="auto"/>
            <w:left w:val="none" w:sz="0" w:space="0" w:color="auto"/>
            <w:bottom w:val="none" w:sz="0" w:space="0" w:color="auto"/>
            <w:right w:val="none" w:sz="0" w:space="0" w:color="auto"/>
          </w:divBdr>
        </w:div>
        <w:div w:id="676730120">
          <w:marLeft w:val="0"/>
          <w:marRight w:val="0"/>
          <w:marTop w:val="0"/>
          <w:marBottom w:val="0"/>
          <w:divBdr>
            <w:top w:val="none" w:sz="0" w:space="0" w:color="auto"/>
            <w:left w:val="none" w:sz="0" w:space="0" w:color="auto"/>
            <w:bottom w:val="none" w:sz="0" w:space="0" w:color="auto"/>
            <w:right w:val="none" w:sz="0" w:space="0" w:color="auto"/>
          </w:divBdr>
        </w:div>
        <w:div w:id="986515163">
          <w:marLeft w:val="0"/>
          <w:marRight w:val="0"/>
          <w:marTop w:val="0"/>
          <w:marBottom w:val="0"/>
          <w:divBdr>
            <w:top w:val="none" w:sz="0" w:space="0" w:color="auto"/>
            <w:left w:val="none" w:sz="0" w:space="0" w:color="auto"/>
            <w:bottom w:val="none" w:sz="0" w:space="0" w:color="auto"/>
            <w:right w:val="none" w:sz="0" w:space="0" w:color="auto"/>
          </w:divBdr>
        </w:div>
        <w:div w:id="1349454653">
          <w:marLeft w:val="0"/>
          <w:marRight w:val="0"/>
          <w:marTop w:val="0"/>
          <w:marBottom w:val="0"/>
          <w:divBdr>
            <w:top w:val="none" w:sz="0" w:space="0" w:color="auto"/>
            <w:left w:val="none" w:sz="0" w:space="0" w:color="auto"/>
            <w:bottom w:val="none" w:sz="0" w:space="0" w:color="auto"/>
            <w:right w:val="none" w:sz="0" w:space="0" w:color="auto"/>
          </w:divBdr>
        </w:div>
        <w:div w:id="1401948025">
          <w:marLeft w:val="0"/>
          <w:marRight w:val="0"/>
          <w:marTop w:val="0"/>
          <w:marBottom w:val="0"/>
          <w:divBdr>
            <w:top w:val="none" w:sz="0" w:space="0" w:color="auto"/>
            <w:left w:val="none" w:sz="0" w:space="0" w:color="auto"/>
            <w:bottom w:val="none" w:sz="0" w:space="0" w:color="auto"/>
            <w:right w:val="none" w:sz="0" w:space="0" w:color="auto"/>
          </w:divBdr>
        </w:div>
        <w:div w:id="1591354694">
          <w:marLeft w:val="0"/>
          <w:marRight w:val="0"/>
          <w:marTop w:val="0"/>
          <w:marBottom w:val="0"/>
          <w:divBdr>
            <w:top w:val="none" w:sz="0" w:space="0" w:color="auto"/>
            <w:left w:val="none" w:sz="0" w:space="0" w:color="auto"/>
            <w:bottom w:val="none" w:sz="0" w:space="0" w:color="auto"/>
            <w:right w:val="none" w:sz="0" w:space="0" w:color="auto"/>
          </w:divBdr>
        </w:div>
        <w:div w:id="1876654541">
          <w:marLeft w:val="0"/>
          <w:marRight w:val="0"/>
          <w:marTop w:val="0"/>
          <w:marBottom w:val="0"/>
          <w:divBdr>
            <w:top w:val="none" w:sz="0" w:space="0" w:color="auto"/>
            <w:left w:val="none" w:sz="0" w:space="0" w:color="auto"/>
            <w:bottom w:val="none" w:sz="0" w:space="0" w:color="auto"/>
            <w:right w:val="none" w:sz="0" w:space="0" w:color="auto"/>
          </w:divBdr>
        </w:div>
      </w:divsChild>
    </w:div>
    <w:div w:id="1426417044">
      <w:bodyDiv w:val="1"/>
      <w:marLeft w:val="0"/>
      <w:marRight w:val="0"/>
      <w:marTop w:val="0"/>
      <w:marBottom w:val="0"/>
      <w:divBdr>
        <w:top w:val="none" w:sz="0" w:space="0" w:color="auto"/>
        <w:left w:val="none" w:sz="0" w:space="0" w:color="auto"/>
        <w:bottom w:val="none" w:sz="0" w:space="0" w:color="auto"/>
        <w:right w:val="none" w:sz="0" w:space="0" w:color="auto"/>
      </w:divBdr>
      <w:divsChild>
        <w:div w:id="106700882">
          <w:marLeft w:val="0"/>
          <w:marRight w:val="0"/>
          <w:marTop w:val="0"/>
          <w:marBottom w:val="0"/>
          <w:divBdr>
            <w:top w:val="none" w:sz="0" w:space="0" w:color="auto"/>
            <w:left w:val="none" w:sz="0" w:space="0" w:color="auto"/>
            <w:bottom w:val="none" w:sz="0" w:space="0" w:color="auto"/>
            <w:right w:val="none" w:sz="0" w:space="0" w:color="auto"/>
          </w:divBdr>
        </w:div>
        <w:div w:id="198666678">
          <w:marLeft w:val="0"/>
          <w:marRight w:val="0"/>
          <w:marTop w:val="0"/>
          <w:marBottom w:val="0"/>
          <w:divBdr>
            <w:top w:val="none" w:sz="0" w:space="0" w:color="auto"/>
            <w:left w:val="none" w:sz="0" w:space="0" w:color="auto"/>
            <w:bottom w:val="none" w:sz="0" w:space="0" w:color="auto"/>
            <w:right w:val="none" w:sz="0" w:space="0" w:color="auto"/>
          </w:divBdr>
        </w:div>
        <w:div w:id="473062652">
          <w:marLeft w:val="0"/>
          <w:marRight w:val="0"/>
          <w:marTop w:val="0"/>
          <w:marBottom w:val="0"/>
          <w:divBdr>
            <w:top w:val="none" w:sz="0" w:space="0" w:color="auto"/>
            <w:left w:val="none" w:sz="0" w:space="0" w:color="auto"/>
            <w:bottom w:val="none" w:sz="0" w:space="0" w:color="auto"/>
            <w:right w:val="none" w:sz="0" w:space="0" w:color="auto"/>
          </w:divBdr>
        </w:div>
        <w:div w:id="544755877">
          <w:marLeft w:val="0"/>
          <w:marRight w:val="0"/>
          <w:marTop w:val="0"/>
          <w:marBottom w:val="0"/>
          <w:divBdr>
            <w:top w:val="none" w:sz="0" w:space="0" w:color="auto"/>
            <w:left w:val="none" w:sz="0" w:space="0" w:color="auto"/>
            <w:bottom w:val="none" w:sz="0" w:space="0" w:color="auto"/>
            <w:right w:val="none" w:sz="0" w:space="0" w:color="auto"/>
          </w:divBdr>
        </w:div>
        <w:div w:id="887379849">
          <w:marLeft w:val="0"/>
          <w:marRight w:val="0"/>
          <w:marTop w:val="0"/>
          <w:marBottom w:val="0"/>
          <w:divBdr>
            <w:top w:val="none" w:sz="0" w:space="0" w:color="auto"/>
            <w:left w:val="none" w:sz="0" w:space="0" w:color="auto"/>
            <w:bottom w:val="none" w:sz="0" w:space="0" w:color="auto"/>
            <w:right w:val="none" w:sz="0" w:space="0" w:color="auto"/>
          </w:divBdr>
        </w:div>
        <w:div w:id="1019165675">
          <w:marLeft w:val="0"/>
          <w:marRight w:val="0"/>
          <w:marTop w:val="0"/>
          <w:marBottom w:val="0"/>
          <w:divBdr>
            <w:top w:val="none" w:sz="0" w:space="0" w:color="auto"/>
            <w:left w:val="none" w:sz="0" w:space="0" w:color="auto"/>
            <w:bottom w:val="none" w:sz="0" w:space="0" w:color="auto"/>
            <w:right w:val="none" w:sz="0" w:space="0" w:color="auto"/>
          </w:divBdr>
        </w:div>
        <w:div w:id="1065377852">
          <w:marLeft w:val="0"/>
          <w:marRight w:val="0"/>
          <w:marTop w:val="0"/>
          <w:marBottom w:val="0"/>
          <w:divBdr>
            <w:top w:val="none" w:sz="0" w:space="0" w:color="auto"/>
            <w:left w:val="none" w:sz="0" w:space="0" w:color="auto"/>
            <w:bottom w:val="none" w:sz="0" w:space="0" w:color="auto"/>
            <w:right w:val="none" w:sz="0" w:space="0" w:color="auto"/>
          </w:divBdr>
        </w:div>
        <w:div w:id="1145010705">
          <w:marLeft w:val="0"/>
          <w:marRight w:val="0"/>
          <w:marTop w:val="0"/>
          <w:marBottom w:val="0"/>
          <w:divBdr>
            <w:top w:val="none" w:sz="0" w:space="0" w:color="auto"/>
            <w:left w:val="none" w:sz="0" w:space="0" w:color="auto"/>
            <w:bottom w:val="none" w:sz="0" w:space="0" w:color="auto"/>
            <w:right w:val="none" w:sz="0" w:space="0" w:color="auto"/>
          </w:divBdr>
        </w:div>
        <w:div w:id="1195927095">
          <w:marLeft w:val="0"/>
          <w:marRight w:val="0"/>
          <w:marTop w:val="0"/>
          <w:marBottom w:val="0"/>
          <w:divBdr>
            <w:top w:val="none" w:sz="0" w:space="0" w:color="auto"/>
            <w:left w:val="none" w:sz="0" w:space="0" w:color="auto"/>
            <w:bottom w:val="none" w:sz="0" w:space="0" w:color="auto"/>
            <w:right w:val="none" w:sz="0" w:space="0" w:color="auto"/>
          </w:divBdr>
        </w:div>
        <w:div w:id="1656760915">
          <w:marLeft w:val="0"/>
          <w:marRight w:val="0"/>
          <w:marTop w:val="0"/>
          <w:marBottom w:val="0"/>
          <w:divBdr>
            <w:top w:val="none" w:sz="0" w:space="0" w:color="auto"/>
            <w:left w:val="none" w:sz="0" w:space="0" w:color="auto"/>
            <w:bottom w:val="none" w:sz="0" w:space="0" w:color="auto"/>
            <w:right w:val="none" w:sz="0" w:space="0" w:color="auto"/>
          </w:divBdr>
        </w:div>
        <w:div w:id="1840584433">
          <w:marLeft w:val="0"/>
          <w:marRight w:val="0"/>
          <w:marTop w:val="0"/>
          <w:marBottom w:val="0"/>
          <w:divBdr>
            <w:top w:val="none" w:sz="0" w:space="0" w:color="auto"/>
            <w:left w:val="none" w:sz="0" w:space="0" w:color="auto"/>
            <w:bottom w:val="none" w:sz="0" w:space="0" w:color="auto"/>
            <w:right w:val="none" w:sz="0" w:space="0" w:color="auto"/>
          </w:divBdr>
        </w:div>
        <w:div w:id="1874729787">
          <w:marLeft w:val="0"/>
          <w:marRight w:val="0"/>
          <w:marTop w:val="0"/>
          <w:marBottom w:val="0"/>
          <w:divBdr>
            <w:top w:val="none" w:sz="0" w:space="0" w:color="auto"/>
            <w:left w:val="none" w:sz="0" w:space="0" w:color="auto"/>
            <w:bottom w:val="none" w:sz="0" w:space="0" w:color="auto"/>
            <w:right w:val="none" w:sz="0" w:space="0" w:color="auto"/>
          </w:divBdr>
        </w:div>
        <w:div w:id="2099474108">
          <w:marLeft w:val="0"/>
          <w:marRight w:val="0"/>
          <w:marTop w:val="0"/>
          <w:marBottom w:val="0"/>
          <w:divBdr>
            <w:top w:val="none" w:sz="0" w:space="0" w:color="auto"/>
            <w:left w:val="none" w:sz="0" w:space="0" w:color="auto"/>
            <w:bottom w:val="none" w:sz="0" w:space="0" w:color="auto"/>
            <w:right w:val="none" w:sz="0" w:space="0" w:color="auto"/>
          </w:divBdr>
        </w:div>
      </w:divsChild>
    </w:div>
    <w:div w:id="1433280157">
      <w:bodyDiv w:val="1"/>
      <w:marLeft w:val="0"/>
      <w:marRight w:val="0"/>
      <w:marTop w:val="0"/>
      <w:marBottom w:val="0"/>
      <w:divBdr>
        <w:top w:val="none" w:sz="0" w:space="0" w:color="auto"/>
        <w:left w:val="none" w:sz="0" w:space="0" w:color="auto"/>
        <w:bottom w:val="none" w:sz="0" w:space="0" w:color="auto"/>
        <w:right w:val="none" w:sz="0" w:space="0" w:color="auto"/>
      </w:divBdr>
      <w:divsChild>
        <w:div w:id="45692222">
          <w:marLeft w:val="0"/>
          <w:marRight w:val="0"/>
          <w:marTop w:val="0"/>
          <w:marBottom w:val="0"/>
          <w:divBdr>
            <w:top w:val="none" w:sz="0" w:space="0" w:color="auto"/>
            <w:left w:val="none" w:sz="0" w:space="0" w:color="auto"/>
            <w:bottom w:val="none" w:sz="0" w:space="0" w:color="auto"/>
            <w:right w:val="none" w:sz="0" w:space="0" w:color="auto"/>
          </w:divBdr>
        </w:div>
        <w:div w:id="280957964">
          <w:marLeft w:val="0"/>
          <w:marRight w:val="0"/>
          <w:marTop w:val="0"/>
          <w:marBottom w:val="0"/>
          <w:divBdr>
            <w:top w:val="none" w:sz="0" w:space="0" w:color="auto"/>
            <w:left w:val="none" w:sz="0" w:space="0" w:color="auto"/>
            <w:bottom w:val="none" w:sz="0" w:space="0" w:color="auto"/>
            <w:right w:val="none" w:sz="0" w:space="0" w:color="auto"/>
          </w:divBdr>
        </w:div>
        <w:div w:id="291176861">
          <w:marLeft w:val="0"/>
          <w:marRight w:val="0"/>
          <w:marTop w:val="0"/>
          <w:marBottom w:val="0"/>
          <w:divBdr>
            <w:top w:val="none" w:sz="0" w:space="0" w:color="auto"/>
            <w:left w:val="none" w:sz="0" w:space="0" w:color="auto"/>
            <w:bottom w:val="none" w:sz="0" w:space="0" w:color="auto"/>
            <w:right w:val="none" w:sz="0" w:space="0" w:color="auto"/>
          </w:divBdr>
        </w:div>
        <w:div w:id="577446901">
          <w:marLeft w:val="0"/>
          <w:marRight w:val="0"/>
          <w:marTop w:val="0"/>
          <w:marBottom w:val="0"/>
          <w:divBdr>
            <w:top w:val="none" w:sz="0" w:space="0" w:color="auto"/>
            <w:left w:val="none" w:sz="0" w:space="0" w:color="auto"/>
            <w:bottom w:val="none" w:sz="0" w:space="0" w:color="auto"/>
            <w:right w:val="none" w:sz="0" w:space="0" w:color="auto"/>
          </w:divBdr>
        </w:div>
        <w:div w:id="1205557438">
          <w:marLeft w:val="0"/>
          <w:marRight w:val="0"/>
          <w:marTop w:val="0"/>
          <w:marBottom w:val="0"/>
          <w:divBdr>
            <w:top w:val="none" w:sz="0" w:space="0" w:color="auto"/>
            <w:left w:val="none" w:sz="0" w:space="0" w:color="auto"/>
            <w:bottom w:val="none" w:sz="0" w:space="0" w:color="auto"/>
            <w:right w:val="none" w:sz="0" w:space="0" w:color="auto"/>
          </w:divBdr>
        </w:div>
        <w:div w:id="1289625647">
          <w:marLeft w:val="0"/>
          <w:marRight w:val="0"/>
          <w:marTop w:val="0"/>
          <w:marBottom w:val="0"/>
          <w:divBdr>
            <w:top w:val="none" w:sz="0" w:space="0" w:color="auto"/>
            <w:left w:val="none" w:sz="0" w:space="0" w:color="auto"/>
            <w:bottom w:val="none" w:sz="0" w:space="0" w:color="auto"/>
            <w:right w:val="none" w:sz="0" w:space="0" w:color="auto"/>
          </w:divBdr>
        </w:div>
        <w:div w:id="1722905223">
          <w:marLeft w:val="0"/>
          <w:marRight w:val="0"/>
          <w:marTop w:val="0"/>
          <w:marBottom w:val="0"/>
          <w:divBdr>
            <w:top w:val="none" w:sz="0" w:space="0" w:color="auto"/>
            <w:left w:val="none" w:sz="0" w:space="0" w:color="auto"/>
            <w:bottom w:val="none" w:sz="0" w:space="0" w:color="auto"/>
            <w:right w:val="none" w:sz="0" w:space="0" w:color="auto"/>
          </w:divBdr>
        </w:div>
      </w:divsChild>
    </w:div>
    <w:div w:id="1439108355">
      <w:bodyDiv w:val="1"/>
      <w:marLeft w:val="0"/>
      <w:marRight w:val="0"/>
      <w:marTop w:val="0"/>
      <w:marBottom w:val="0"/>
      <w:divBdr>
        <w:top w:val="none" w:sz="0" w:space="0" w:color="auto"/>
        <w:left w:val="none" w:sz="0" w:space="0" w:color="auto"/>
        <w:bottom w:val="none" w:sz="0" w:space="0" w:color="auto"/>
        <w:right w:val="none" w:sz="0" w:space="0" w:color="auto"/>
      </w:divBdr>
      <w:divsChild>
        <w:div w:id="244658060">
          <w:marLeft w:val="0"/>
          <w:marRight w:val="0"/>
          <w:marTop w:val="0"/>
          <w:marBottom w:val="0"/>
          <w:divBdr>
            <w:top w:val="none" w:sz="0" w:space="0" w:color="auto"/>
            <w:left w:val="none" w:sz="0" w:space="0" w:color="auto"/>
            <w:bottom w:val="none" w:sz="0" w:space="0" w:color="auto"/>
            <w:right w:val="none" w:sz="0" w:space="0" w:color="auto"/>
          </w:divBdr>
        </w:div>
        <w:div w:id="359169350">
          <w:marLeft w:val="0"/>
          <w:marRight w:val="0"/>
          <w:marTop w:val="0"/>
          <w:marBottom w:val="0"/>
          <w:divBdr>
            <w:top w:val="none" w:sz="0" w:space="0" w:color="auto"/>
            <w:left w:val="none" w:sz="0" w:space="0" w:color="auto"/>
            <w:bottom w:val="none" w:sz="0" w:space="0" w:color="auto"/>
            <w:right w:val="none" w:sz="0" w:space="0" w:color="auto"/>
          </w:divBdr>
        </w:div>
        <w:div w:id="505362353">
          <w:marLeft w:val="0"/>
          <w:marRight w:val="0"/>
          <w:marTop w:val="0"/>
          <w:marBottom w:val="0"/>
          <w:divBdr>
            <w:top w:val="none" w:sz="0" w:space="0" w:color="auto"/>
            <w:left w:val="none" w:sz="0" w:space="0" w:color="auto"/>
            <w:bottom w:val="none" w:sz="0" w:space="0" w:color="auto"/>
            <w:right w:val="none" w:sz="0" w:space="0" w:color="auto"/>
          </w:divBdr>
        </w:div>
        <w:div w:id="575435083">
          <w:marLeft w:val="0"/>
          <w:marRight w:val="0"/>
          <w:marTop w:val="0"/>
          <w:marBottom w:val="0"/>
          <w:divBdr>
            <w:top w:val="none" w:sz="0" w:space="0" w:color="auto"/>
            <w:left w:val="none" w:sz="0" w:space="0" w:color="auto"/>
            <w:bottom w:val="none" w:sz="0" w:space="0" w:color="auto"/>
            <w:right w:val="none" w:sz="0" w:space="0" w:color="auto"/>
          </w:divBdr>
        </w:div>
        <w:div w:id="680274877">
          <w:marLeft w:val="0"/>
          <w:marRight w:val="0"/>
          <w:marTop w:val="0"/>
          <w:marBottom w:val="0"/>
          <w:divBdr>
            <w:top w:val="none" w:sz="0" w:space="0" w:color="auto"/>
            <w:left w:val="none" w:sz="0" w:space="0" w:color="auto"/>
            <w:bottom w:val="none" w:sz="0" w:space="0" w:color="auto"/>
            <w:right w:val="none" w:sz="0" w:space="0" w:color="auto"/>
          </w:divBdr>
        </w:div>
        <w:div w:id="725450590">
          <w:marLeft w:val="0"/>
          <w:marRight w:val="0"/>
          <w:marTop w:val="0"/>
          <w:marBottom w:val="0"/>
          <w:divBdr>
            <w:top w:val="none" w:sz="0" w:space="0" w:color="auto"/>
            <w:left w:val="none" w:sz="0" w:space="0" w:color="auto"/>
            <w:bottom w:val="none" w:sz="0" w:space="0" w:color="auto"/>
            <w:right w:val="none" w:sz="0" w:space="0" w:color="auto"/>
          </w:divBdr>
        </w:div>
        <w:div w:id="872571242">
          <w:marLeft w:val="0"/>
          <w:marRight w:val="0"/>
          <w:marTop w:val="0"/>
          <w:marBottom w:val="0"/>
          <w:divBdr>
            <w:top w:val="none" w:sz="0" w:space="0" w:color="auto"/>
            <w:left w:val="none" w:sz="0" w:space="0" w:color="auto"/>
            <w:bottom w:val="none" w:sz="0" w:space="0" w:color="auto"/>
            <w:right w:val="none" w:sz="0" w:space="0" w:color="auto"/>
          </w:divBdr>
          <w:divsChild>
            <w:div w:id="252670780">
              <w:marLeft w:val="0"/>
              <w:marRight w:val="0"/>
              <w:marTop w:val="0"/>
              <w:marBottom w:val="0"/>
              <w:divBdr>
                <w:top w:val="none" w:sz="0" w:space="0" w:color="auto"/>
                <w:left w:val="none" w:sz="0" w:space="0" w:color="auto"/>
                <w:bottom w:val="none" w:sz="0" w:space="0" w:color="auto"/>
                <w:right w:val="none" w:sz="0" w:space="0" w:color="auto"/>
              </w:divBdr>
            </w:div>
            <w:div w:id="802891124">
              <w:marLeft w:val="0"/>
              <w:marRight w:val="0"/>
              <w:marTop w:val="0"/>
              <w:marBottom w:val="0"/>
              <w:divBdr>
                <w:top w:val="none" w:sz="0" w:space="0" w:color="auto"/>
                <w:left w:val="none" w:sz="0" w:space="0" w:color="auto"/>
                <w:bottom w:val="none" w:sz="0" w:space="0" w:color="auto"/>
                <w:right w:val="none" w:sz="0" w:space="0" w:color="auto"/>
              </w:divBdr>
            </w:div>
            <w:div w:id="1080369062">
              <w:marLeft w:val="0"/>
              <w:marRight w:val="0"/>
              <w:marTop w:val="0"/>
              <w:marBottom w:val="0"/>
              <w:divBdr>
                <w:top w:val="none" w:sz="0" w:space="0" w:color="auto"/>
                <w:left w:val="none" w:sz="0" w:space="0" w:color="auto"/>
                <w:bottom w:val="none" w:sz="0" w:space="0" w:color="auto"/>
                <w:right w:val="none" w:sz="0" w:space="0" w:color="auto"/>
              </w:divBdr>
            </w:div>
            <w:div w:id="1625884657">
              <w:marLeft w:val="0"/>
              <w:marRight w:val="0"/>
              <w:marTop w:val="0"/>
              <w:marBottom w:val="0"/>
              <w:divBdr>
                <w:top w:val="none" w:sz="0" w:space="0" w:color="auto"/>
                <w:left w:val="none" w:sz="0" w:space="0" w:color="auto"/>
                <w:bottom w:val="none" w:sz="0" w:space="0" w:color="auto"/>
                <w:right w:val="none" w:sz="0" w:space="0" w:color="auto"/>
              </w:divBdr>
            </w:div>
            <w:div w:id="2069378043">
              <w:marLeft w:val="0"/>
              <w:marRight w:val="0"/>
              <w:marTop w:val="0"/>
              <w:marBottom w:val="0"/>
              <w:divBdr>
                <w:top w:val="none" w:sz="0" w:space="0" w:color="auto"/>
                <w:left w:val="none" w:sz="0" w:space="0" w:color="auto"/>
                <w:bottom w:val="none" w:sz="0" w:space="0" w:color="auto"/>
                <w:right w:val="none" w:sz="0" w:space="0" w:color="auto"/>
              </w:divBdr>
            </w:div>
          </w:divsChild>
        </w:div>
        <w:div w:id="1025908600">
          <w:marLeft w:val="0"/>
          <w:marRight w:val="0"/>
          <w:marTop w:val="0"/>
          <w:marBottom w:val="0"/>
          <w:divBdr>
            <w:top w:val="none" w:sz="0" w:space="0" w:color="auto"/>
            <w:left w:val="none" w:sz="0" w:space="0" w:color="auto"/>
            <w:bottom w:val="none" w:sz="0" w:space="0" w:color="auto"/>
            <w:right w:val="none" w:sz="0" w:space="0" w:color="auto"/>
          </w:divBdr>
        </w:div>
        <w:div w:id="1465660200">
          <w:marLeft w:val="0"/>
          <w:marRight w:val="0"/>
          <w:marTop w:val="0"/>
          <w:marBottom w:val="0"/>
          <w:divBdr>
            <w:top w:val="none" w:sz="0" w:space="0" w:color="auto"/>
            <w:left w:val="none" w:sz="0" w:space="0" w:color="auto"/>
            <w:bottom w:val="none" w:sz="0" w:space="0" w:color="auto"/>
            <w:right w:val="none" w:sz="0" w:space="0" w:color="auto"/>
          </w:divBdr>
        </w:div>
        <w:div w:id="1493645931">
          <w:marLeft w:val="0"/>
          <w:marRight w:val="0"/>
          <w:marTop w:val="0"/>
          <w:marBottom w:val="0"/>
          <w:divBdr>
            <w:top w:val="none" w:sz="0" w:space="0" w:color="auto"/>
            <w:left w:val="none" w:sz="0" w:space="0" w:color="auto"/>
            <w:bottom w:val="none" w:sz="0" w:space="0" w:color="auto"/>
            <w:right w:val="none" w:sz="0" w:space="0" w:color="auto"/>
          </w:divBdr>
          <w:divsChild>
            <w:div w:id="521238115">
              <w:marLeft w:val="0"/>
              <w:marRight w:val="0"/>
              <w:marTop w:val="0"/>
              <w:marBottom w:val="0"/>
              <w:divBdr>
                <w:top w:val="none" w:sz="0" w:space="0" w:color="auto"/>
                <w:left w:val="none" w:sz="0" w:space="0" w:color="auto"/>
                <w:bottom w:val="none" w:sz="0" w:space="0" w:color="auto"/>
                <w:right w:val="none" w:sz="0" w:space="0" w:color="auto"/>
              </w:divBdr>
            </w:div>
            <w:div w:id="806820869">
              <w:marLeft w:val="0"/>
              <w:marRight w:val="0"/>
              <w:marTop w:val="0"/>
              <w:marBottom w:val="0"/>
              <w:divBdr>
                <w:top w:val="none" w:sz="0" w:space="0" w:color="auto"/>
                <w:left w:val="none" w:sz="0" w:space="0" w:color="auto"/>
                <w:bottom w:val="none" w:sz="0" w:space="0" w:color="auto"/>
                <w:right w:val="none" w:sz="0" w:space="0" w:color="auto"/>
              </w:divBdr>
            </w:div>
            <w:div w:id="1223640788">
              <w:marLeft w:val="0"/>
              <w:marRight w:val="0"/>
              <w:marTop w:val="0"/>
              <w:marBottom w:val="0"/>
              <w:divBdr>
                <w:top w:val="none" w:sz="0" w:space="0" w:color="auto"/>
                <w:left w:val="none" w:sz="0" w:space="0" w:color="auto"/>
                <w:bottom w:val="none" w:sz="0" w:space="0" w:color="auto"/>
                <w:right w:val="none" w:sz="0" w:space="0" w:color="auto"/>
              </w:divBdr>
            </w:div>
            <w:div w:id="1483233891">
              <w:marLeft w:val="0"/>
              <w:marRight w:val="0"/>
              <w:marTop w:val="0"/>
              <w:marBottom w:val="0"/>
              <w:divBdr>
                <w:top w:val="none" w:sz="0" w:space="0" w:color="auto"/>
                <w:left w:val="none" w:sz="0" w:space="0" w:color="auto"/>
                <w:bottom w:val="none" w:sz="0" w:space="0" w:color="auto"/>
                <w:right w:val="none" w:sz="0" w:space="0" w:color="auto"/>
              </w:divBdr>
            </w:div>
            <w:div w:id="2072338087">
              <w:marLeft w:val="0"/>
              <w:marRight w:val="0"/>
              <w:marTop w:val="0"/>
              <w:marBottom w:val="0"/>
              <w:divBdr>
                <w:top w:val="none" w:sz="0" w:space="0" w:color="auto"/>
                <w:left w:val="none" w:sz="0" w:space="0" w:color="auto"/>
                <w:bottom w:val="none" w:sz="0" w:space="0" w:color="auto"/>
                <w:right w:val="none" w:sz="0" w:space="0" w:color="auto"/>
              </w:divBdr>
            </w:div>
          </w:divsChild>
        </w:div>
        <w:div w:id="1966277762">
          <w:marLeft w:val="0"/>
          <w:marRight w:val="0"/>
          <w:marTop w:val="0"/>
          <w:marBottom w:val="0"/>
          <w:divBdr>
            <w:top w:val="none" w:sz="0" w:space="0" w:color="auto"/>
            <w:left w:val="none" w:sz="0" w:space="0" w:color="auto"/>
            <w:bottom w:val="none" w:sz="0" w:space="0" w:color="auto"/>
            <w:right w:val="none" w:sz="0" w:space="0" w:color="auto"/>
          </w:divBdr>
        </w:div>
        <w:div w:id="2098017805">
          <w:marLeft w:val="0"/>
          <w:marRight w:val="0"/>
          <w:marTop w:val="0"/>
          <w:marBottom w:val="0"/>
          <w:divBdr>
            <w:top w:val="none" w:sz="0" w:space="0" w:color="auto"/>
            <w:left w:val="none" w:sz="0" w:space="0" w:color="auto"/>
            <w:bottom w:val="none" w:sz="0" w:space="0" w:color="auto"/>
            <w:right w:val="none" w:sz="0" w:space="0" w:color="auto"/>
          </w:divBdr>
        </w:div>
      </w:divsChild>
    </w:div>
    <w:div w:id="1446580026">
      <w:bodyDiv w:val="1"/>
      <w:marLeft w:val="0"/>
      <w:marRight w:val="0"/>
      <w:marTop w:val="0"/>
      <w:marBottom w:val="0"/>
      <w:divBdr>
        <w:top w:val="none" w:sz="0" w:space="0" w:color="auto"/>
        <w:left w:val="none" w:sz="0" w:space="0" w:color="auto"/>
        <w:bottom w:val="none" w:sz="0" w:space="0" w:color="auto"/>
        <w:right w:val="none" w:sz="0" w:space="0" w:color="auto"/>
      </w:divBdr>
      <w:divsChild>
        <w:div w:id="213584221">
          <w:marLeft w:val="0"/>
          <w:marRight w:val="0"/>
          <w:marTop w:val="0"/>
          <w:marBottom w:val="0"/>
          <w:divBdr>
            <w:top w:val="none" w:sz="0" w:space="0" w:color="auto"/>
            <w:left w:val="none" w:sz="0" w:space="0" w:color="auto"/>
            <w:bottom w:val="none" w:sz="0" w:space="0" w:color="auto"/>
            <w:right w:val="none" w:sz="0" w:space="0" w:color="auto"/>
          </w:divBdr>
        </w:div>
        <w:div w:id="753742666">
          <w:marLeft w:val="0"/>
          <w:marRight w:val="0"/>
          <w:marTop w:val="0"/>
          <w:marBottom w:val="0"/>
          <w:divBdr>
            <w:top w:val="none" w:sz="0" w:space="0" w:color="auto"/>
            <w:left w:val="none" w:sz="0" w:space="0" w:color="auto"/>
            <w:bottom w:val="none" w:sz="0" w:space="0" w:color="auto"/>
            <w:right w:val="none" w:sz="0" w:space="0" w:color="auto"/>
          </w:divBdr>
        </w:div>
        <w:div w:id="953171692">
          <w:marLeft w:val="0"/>
          <w:marRight w:val="0"/>
          <w:marTop w:val="0"/>
          <w:marBottom w:val="0"/>
          <w:divBdr>
            <w:top w:val="none" w:sz="0" w:space="0" w:color="auto"/>
            <w:left w:val="none" w:sz="0" w:space="0" w:color="auto"/>
            <w:bottom w:val="none" w:sz="0" w:space="0" w:color="auto"/>
            <w:right w:val="none" w:sz="0" w:space="0" w:color="auto"/>
          </w:divBdr>
        </w:div>
        <w:div w:id="1651058156">
          <w:marLeft w:val="0"/>
          <w:marRight w:val="0"/>
          <w:marTop w:val="0"/>
          <w:marBottom w:val="0"/>
          <w:divBdr>
            <w:top w:val="none" w:sz="0" w:space="0" w:color="auto"/>
            <w:left w:val="none" w:sz="0" w:space="0" w:color="auto"/>
            <w:bottom w:val="none" w:sz="0" w:space="0" w:color="auto"/>
            <w:right w:val="none" w:sz="0" w:space="0" w:color="auto"/>
          </w:divBdr>
        </w:div>
        <w:div w:id="1911572931">
          <w:marLeft w:val="0"/>
          <w:marRight w:val="0"/>
          <w:marTop w:val="0"/>
          <w:marBottom w:val="0"/>
          <w:divBdr>
            <w:top w:val="none" w:sz="0" w:space="0" w:color="auto"/>
            <w:left w:val="none" w:sz="0" w:space="0" w:color="auto"/>
            <w:bottom w:val="none" w:sz="0" w:space="0" w:color="auto"/>
            <w:right w:val="none" w:sz="0" w:space="0" w:color="auto"/>
          </w:divBdr>
        </w:div>
      </w:divsChild>
    </w:div>
    <w:div w:id="1449853306">
      <w:bodyDiv w:val="1"/>
      <w:marLeft w:val="0"/>
      <w:marRight w:val="0"/>
      <w:marTop w:val="0"/>
      <w:marBottom w:val="0"/>
      <w:divBdr>
        <w:top w:val="none" w:sz="0" w:space="0" w:color="auto"/>
        <w:left w:val="none" w:sz="0" w:space="0" w:color="auto"/>
        <w:bottom w:val="none" w:sz="0" w:space="0" w:color="auto"/>
        <w:right w:val="none" w:sz="0" w:space="0" w:color="auto"/>
      </w:divBdr>
      <w:divsChild>
        <w:div w:id="32779688">
          <w:marLeft w:val="0"/>
          <w:marRight w:val="0"/>
          <w:marTop w:val="0"/>
          <w:marBottom w:val="0"/>
          <w:divBdr>
            <w:top w:val="none" w:sz="0" w:space="0" w:color="auto"/>
            <w:left w:val="none" w:sz="0" w:space="0" w:color="auto"/>
            <w:bottom w:val="none" w:sz="0" w:space="0" w:color="auto"/>
            <w:right w:val="none" w:sz="0" w:space="0" w:color="auto"/>
          </w:divBdr>
        </w:div>
        <w:div w:id="463428343">
          <w:marLeft w:val="0"/>
          <w:marRight w:val="0"/>
          <w:marTop w:val="0"/>
          <w:marBottom w:val="0"/>
          <w:divBdr>
            <w:top w:val="none" w:sz="0" w:space="0" w:color="auto"/>
            <w:left w:val="none" w:sz="0" w:space="0" w:color="auto"/>
            <w:bottom w:val="none" w:sz="0" w:space="0" w:color="auto"/>
            <w:right w:val="none" w:sz="0" w:space="0" w:color="auto"/>
          </w:divBdr>
        </w:div>
        <w:div w:id="467288210">
          <w:marLeft w:val="0"/>
          <w:marRight w:val="0"/>
          <w:marTop w:val="0"/>
          <w:marBottom w:val="0"/>
          <w:divBdr>
            <w:top w:val="none" w:sz="0" w:space="0" w:color="auto"/>
            <w:left w:val="none" w:sz="0" w:space="0" w:color="auto"/>
            <w:bottom w:val="none" w:sz="0" w:space="0" w:color="auto"/>
            <w:right w:val="none" w:sz="0" w:space="0" w:color="auto"/>
          </w:divBdr>
        </w:div>
        <w:div w:id="509569318">
          <w:marLeft w:val="0"/>
          <w:marRight w:val="0"/>
          <w:marTop w:val="0"/>
          <w:marBottom w:val="0"/>
          <w:divBdr>
            <w:top w:val="none" w:sz="0" w:space="0" w:color="auto"/>
            <w:left w:val="none" w:sz="0" w:space="0" w:color="auto"/>
            <w:bottom w:val="none" w:sz="0" w:space="0" w:color="auto"/>
            <w:right w:val="none" w:sz="0" w:space="0" w:color="auto"/>
          </w:divBdr>
        </w:div>
        <w:div w:id="1240629194">
          <w:marLeft w:val="0"/>
          <w:marRight w:val="0"/>
          <w:marTop w:val="0"/>
          <w:marBottom w:val="0"/>
          <w:divBdr>
            <w:top w:val="none" w:sz="0" w:space="0" w:color="auto"/>
            <w:left w:val="none" w:sz="0" w:space="0" w:color="auto"/>
            <w:bottom w:val="none" w:sz="0" w:space="0" w:color="auto"/>
            <w:right w:val="none" w:sz="0" w:space="0" w:color="auto"/>
          </w:divBdr>
        </w:div>
        <w:div w:id="1396320465">
          <w:marLeft w:val="0"/>
          <w:marRight w:val="0"/>
          <w:marTop w:val="0"/>
          <w:marBottom w:val="0"/>
          <w:divBdr>
            <w:top w:val="none" w:sz="0" w:space="0" w:color="auto"/>
            <w:left w:val="none" w:sz="0" w:space="0" w:color="auto"/>
            <w:bottom w:val="none" w:sz="0" w:space="0" w:color="auto"/>
            <w:right w:val="none" w:sz="0" w:space="0" w:color="auto"/>
          </w:divBdr>
        </w:div>
        <w:div w:id="1543590409">
          <w:marLeft w:val="0"/>
          <w:marRight w:val="0"/>
          <w:marTop w:val="0"/>
          <w:marBottom w:val="0"/>
          <w:divBdr>
            <w:top w:val="none" w:sz="0" w:space="0" w:color="auto"/>
            <w:left w:val="none" w:sz="0" w:space="0" w:color="auto"/>
            <w:bottom w:val="none" w:sz="0" w:space="0" w:color="auto"/>
            <w:right w:val="none" w:sz="0" w:space="0" w:color="auto"/>
          </w:divBdr>
        </w:div>
        <w:div w:id="2087215748">
          <w:marLeft w:val="0"/>
          <w:marRight w:val="0"/>
          <w:marTop w:val="0"/>
          <w:marBottom w:val="0"/>
          <w:divBdr>
            <w:top w:val="none" w:sz="0" w:space="0" w:color="auto"/>
            <w:left w:val="none" w:sz="0" w:space="0" w:color="auto"/>
            <w:bottom w:val="none" w:sz="0" w:space="0" w:color="auto"/>
            <w:right w:val="none" w:sz="0" w:space="0" w:color="auto"/>
          </w:divBdr>
        </w:div>
      </w:divsChild>
    </w:div>
    <w:div w:id="1453793177">
      <w:bodyDiv w:val="1"/>
      <w:marLeft w:val="0"/>
      <w:marRight w:val="0"/>
      <w:marTop w:val="0"/>
      <w:marBottom w:val="0"/>
      <w:divBdr>
        <w:top w:val="none" w:sz="0" w:space="0" w:color="auto"/>
        <w:left w:val="none" w:sz="0" w:space="0" w:color="auto"/>
        <w:bottom w:val="none" w:sz="0" w:space="0" w:color="auto"/>
        <w:right w:val="none" w:sz="0" w:space="0" w:color="auto"/>
      </w:divBdr>
      <w:divsChild>
        <w:div w:id="184950348">
          <w:marLeft w:val="0"/>
          <w:marRight w:val="0"/>
          <w:marTop w:val="0"/>
          <w:marBottom w:val="0"/>
          <w:divBdr>
            <w:top w:val="none" w:sz="0" w:space="0" w:color="auto"/>
            <w:left w:val="none" w:sz="0" w:space="0" w:color="auto"/>
            <w:bottom w:val="none" w:sz="0" w:space="0" w:color="auto"/>
            <w:right w:val="none" w:sz="0" w:space="0" w:color="auto"/>
          </w:divBdr>
        </w:div>
        <w:div w:id="987781052">
          <w:marLeft w:val="0"/>
          <w:marRight w:val="0"/>
          <w:marTop w:val="0"/>
          <w:marBottom w:val="0"/>
          <w:divBdr>
            <w:top w:val="none" w:sz="0" w:space="0" w:color="auto"/>
            <w:left w:val="none" w:sz="0" w:space="0" w:color="auto"/>
            <w:bottom w:val="none" w:sz="0" w:space="0" w:color="auto"/>
            <w:right w:val="none" w:sz="0" w:space="0" w:color="auto"/>
          </w:divBdr>
        </w:div>
        <w:div w:id="1123227341">
          <w:marLeft w:val="0"/>
          <w:marRight w:val="0"/>
          <w:marTop w:val="0"/>
          <w:marBottom w:val="0"/>
          <w:divBdr>
            <w:top w:val="none" w:sz="0" w:space="0" w:color="auto"/>
            <w:left w:val="none" w:sz="0" w:space="0" w:color="auto"/>
            <w:bottom w:val="none" w:sz="0" w:space="0" w:color="auto"/>
            <w:right w:val="none" w:sz="0" w:space="0" w:color="auto"/>
          </w:divBdr>
        </w:div>
        <w:div w:id="1154645538">
          <w:marLeft w:val="0"/>
          <w:marRight w:val="0"/>
          <w:marTop w:val="0"/>
          <w:marBottom w:val="0"/>
          <w:divBdr>
            <w:top w:val="none" w:sz="0" w:space="0" w:color="auto"/>
            <w:left w:val="none" w:sz="0" w:space="0" w:color="auto"/>
            <w:bottom w:val="none" w:sz="0" w:space="0" w:color="auto"/>
            <w:right w:val="none" w:sz="0" w:space="0" w:color="auto"/>
          </w:divBdr>
        </w:div>
        <w:div w:id="1316101758">
          <w:marLeft w:val="0"/>
          <w:marRight w:val="0"/>
          <w:marTop w:val="0"/>
          <w:marBottom w:val="0"/>
          <w:divBdr>
            <w:top w:val="none" w:sz="0" w:space="0" w:color="auto"/>
            <w:left w:val="none" w:sz="0" w:space="0" w:color="auto"/>
            <w:bottom w:val="none" w:sz="0" w:space="0" w:color="auto"/>
            <w:right w:val="none" w:sz="0" w:space="0" w:color="auto"/>
          </w:divBdr>
        </w:div>
        <w:div w:id="1588610431">
          <w:marLeft w:val="0"/>
          <w:marRight w:val="0"/>
          <w:marTop w:val="0"/>
          <w:marBottom w:val="0"/>
          <w:divBdr>
            <w:top w:val="none" w:sz="0" w:space="0" w:color="auto"/>
            <w:left w:val="none" w:sz="0" w:space="0" w:color="auto"/>
            <w:bottom w:val="none" w:sz="0" w:space="0" w:color="auto"/>
            <w:right w:val="none" w:sz="0" w:space="0" w:color="auto"/>
          </w:divBdr>
        </w:div>
      </w:divsChild>
    </w:div>
    <w:div w:id="1467967577">
      <w:bodyDiv w:val="1"/>
      <w:marLeft w:val="0"/>
      <w:marRight w:val="0"/>
      <w:marTop w:val="0"/>
      <w:marBottom w:val="0"/>
      <w:divBdr>
        <w:top w:val="none" w:sz="0" w:space="0" w:color="auto"/>
        <w:left w:val="none" w:sz="0" w:space="0" w:color="auto"/>
        <w:bottom w:val="none" w:sz="0" w:space="0" w:color="auto"/>
        <w:right w:val="none" w:sz="0" w:space="0" w:color="auto"/>
      </w:divBdr>
      <w:divsChild>
        <w:div w:id="110438552">
          <w:marLeft w:val="0"/>
          <w:marRight w:val="0"/>
          <w:marTop w:val="0"/>
          <w:marBottom w:val="0"/>
          <w:divBdr>
            <w:top w:val="none" w:sz="0" w:space="0" w:color="auto"/>
            <w:left w:val="none" w:sz="0" w:space="0" w:color="auto"/>
            <w:bottom w:val="none" w:sz="0" w:space="0" w:color="auto"/>
            <w:right w:val="none" w:sz="0" w:space="0" w:color="auto"/>
          </w:divBdr>
        </w:div>
        <w:div w:id="800147655">
          <w:marLeft w:val="0"/>
          <w:marRight w:val="0"/>
          <w:marTop w:val="0"/>
          <w:marBottom w:val="0"/>
          <w:divBdr>
            <w:top w:val="none" w:sz="0" w:space="0" w:color="auto"/>
            <w:left w:val="none" w:sz="0" w:space="0" w:color="auto"/>
            <w:bottom w:val="none" w:sz="0" w:space="0" w:color="auto"/>
            <w:right w:val="none" w:sz="0" w:space="0" w:color="auto"/>
          </w:divBdr>
        </w:div>
        <w:div w:id="1088190046">
          <w:marLeft w:val="0"/>
          <w:marRight w:val="0"/>
          <w:marTop w:val="0"/>
          <w:marBottom w:val="0"/>
          <w:divBdr>
            <w:top w:val="none" w:sz="0" w:space="0" w:color="auto"/>
            <w:left w:val="none" w:sz="0" w:space="0" w:color="auto"/>
            <w:bottom w:val="none" w:sz="0" w:space="0" w:color="auto"/>
            <w:right w:val="none" w:sz="0" w:space="0" w:color="auto"/>
          </w:divBdr>
        </w:div>
        <w:div w:id="1157841716">
          <w:marLeft w:val="0"/>
          <w:marRight w:val="0"/>
          <w:marTop w:val="0"/>
          <w:marBottom w:val="0"/>
          <w:divBdr>
            <w:top w:val="none" w:sz="0" w:space="0" w:color="auto"/>
            <w:left w:val="none" w:sz="0" w:space="0" w:color="auto"/>
            <w:bottom w:val="none" w:sz="0" w:space="0" w:color="auto"/>
            <w:right w:val="none" w:sz="0" w:space="0" w:color="auto"/>
          </w:divBdr>
        </w:div>
        <w:div w:id="2078090745">
          <w:marLeft w:val="0"/>
          <w:marRight w:val="0"/>
          <w:marTop w:val="0"/>
          <w:marBottom w:val="0"/>
          <w:divBdr>
            <w:top w:val="none" w:sz="0" w:space="0" w:color="auto"/>
            <w:left w:val="none" w:sz="0" w:space="0" w:color="auto"/>
            <w:bottom w:val="none" w:sz="0" w:space="0" w:color="auto"/>
            <w:right w:val="none" w:sz="0" w:space="0" w:color="auto"/>
          </w:divBdr>
        </w:div>
      </w:divsChild>
    </w:div>
    <w:div w:id="1487280356">
      <w:bodyDiv w:val="1"/>
      <w:marLeft w:val="0"/>
      <w:marRight w:val="0"/>
      <w:marTop w:val="0"/>
      <w:marBottom w:val="0"/>
      <w:divBdr>
        <w:top w:val="none" w:sz="0" w:space="0" w:color="auto"/>
        <w:left w:val="none" w:sz="0" w:space="0" w:color="auto"/>
        <w:bottom w:val="none" w:sz="0" w:space="0" w:color="auto"/>
        <w:right w:val="none" w:sz="0" w:space="0" w:color="auto"/>
      </w:divBdr>
      <w:divsChild>
        <w:div w:id="1754012823">
          <w:marLeft w:val="0"/>
          <w:marRight w:val="0"/>
          <w:marTop w:val="0"/>
          <w:marBottom w:val="0"/>
          <w:divBdr>
            <w:top w:val="none" w:sz="0" w:space="0" w:color="auto"/>
            <w:left w:val="none" w:sz="0" w:space="0" w:color="auto"/>
            <w:bottom w:val="none" w:sz="0" w:space="0" w:color="auto"/>
            <w:right w:val="none" w:sz="0" w:space="0" w:color="auto"/>
          </w:divBdr>
        </w:div>
      </w:divsChild>
    </w:div>
    <w:div w:id="1488325766">
      <w:bodyDiv w:val="1"/>
      <w:marLeft w:val="0"/>
      <w:marRight w:val="0"/>
      <w:marTop w:val="0"/>
      <w:marBottom w:val="0"/>
      <w:divBdr>
        <w:top w:val="none" w:sz="0" w:space="0" w:color="auto"/>
        <w:left w:val="none" w:sz="0" w:space="0" w:color="auto"/>
        <w:bottom w:val="none" w:sz="0" w:space="0" w:color="auto"/>
        <w:right w:val="none" w:sz="0" w:space="0" w:color="auto"/>
      </w:divBdr>
      <w:divsChild>
        <w:div w:id="6757973">
          <w:marLeft w:val="0"/>
          <w:marRight w:val="0"/>
          <w:marTop w:val="0"/>
          <w:marBottom w:val="0"/>
          <w:divBdr>
            <w:top w:val="none" w:sz="0" w:space="0" w:color="auto"/>
            <w:left w:val="none" w:sz="0" w:space="0" w:color="auto"/>
            <w:bottom w:val="none" w:sz="0" w:space="0" w:color="auto"/>
            <w:right w:val="none" w:sz="0" w:space="0" w:color="auto"/>
          </w:divBdr>
        </w:div>
        <w:div w:id="216203651">
          <w:marLeft w:val="0"/>
          <w:marRight w:val="0"/>
          <w:marTop w:val="0"/>
          <w:marBottom w:val="0"/>
          <w:divBdr>
            <w:top w:val="none" w:sz="0" w:space="0" w:color="auto"/>
            <w:left w:val="none" w:sz="0" w:space="0" w:color="auto"/>
            <w:bottom w:val="none" w:sz="0" w:space="0" w:color="auto"/>
            <w:right w:val="none" w:sz="0" w:space="0" w:color="auto"/>
          </w:divBdr>
        </w:div>
        <w:div w:id="751663271">
          <w:marLeft w:val="0"/>
          <w:marRight w:val="0"/>
          <w:marTop w:val="0"/>
          <w:marBottom w:val="0"/>
          <w:divBdr>
            <w:top w:val="none" w:sz="0" w:space="0" w:color="auto"/>
            <w:left w:val="none" w:sz="0" w:space="0" w:color="auto"/>
            <w:bottom w:val="none" w:sz="0" w:space="0" w:color="auto"/>
            <w:right w:val="none" w:sz="0" w:space="0" w:color="auto"/>
          </w:divBdr>
        </w:div>
        <w:div w:id="1522940212">
          <w:marLeft w:val="0"/>
          <w:marRight w:val="0"/>
          <w:marTop w:val="0"/>
          <w:marBottom w:val="0"/>
          <w:divBdr>
            <w:top w:val="none" w:sz="0" w:space="0" w:color="auto"/>
            <w:left w:val="none" w:sz="0" w:space="0" w:color="auto"/>
            <w:bottom w:val="none" w:sz="0" w:space="0" w:color="auto"/>
            <w:right w:val="none" w:sz="0" w:space="0" w:color="auto"/>
          </w:divBdr>
        </w:div>
        <w:div w:id="1997954084">
          <w:marLeft w:val="0"/>
          <w:marRight w:val="0"/>
          <w:marTop w:val="0"/>
          <w:marBottom w:val="0"/>
          <w:divBdr>
            <w:top w:val="none" w:sz="0" w:space="0" w:color="auto"/>
            <w:left w:val="none" w:sz="0" w:space="0" w:color="auto"/>
            <w:bottom w:val="none" w:sz="0" w:space="0" w:color="auto"/>
            <w:right w:val="none" w:sz="0" w:space="0" w:color="auto"/>
          </w:divBdr>
        </w:div>
      </w:divsChild>
    </w:div>
    <w:div w:id="1493794565">
      <w:bodyDiv w:val="1"/>
      <w:marLeft w:val="0"/>
      <w:marRight w:val="0"/>
      <w:marTop w:val="0"/>
      <w:marBottom w:val="0"/>
      <w:divBdr>
        <w:top w:val="none" w:sz="0" w:space="0" w:color="auto"/>
        <w:left w:val="none" w:sz="0" w:space="0" w:color="auto"/>
        <w:bottom w:val="none" w:sz="0" w:space="0" w:color="auto"/>
        <w:right w:val="none" w:sz="0" w:space="0" w:color="auto"/>
      </w:divBdr>
      <w:divsChild>
        <w:div w:id="255944994">
          <w:marLeft w:val="0"/>
          <w:marRight w:val="0"/>
          <w:marTop w:val="0"/>
          <w:marBottom w:val="0"/>
          <w:divBdr>
            <w:top w:val="none" w:sz="0" w:space="0" w:color="auto"/>
            <w:left w:val="none" w:sz="0" w:space="0" w:color="auto"/>
            <w:bottom w:val="none" w:sz="0" w:space="0" w:color="auto"/>
            <w:right w:val="none" w:sz="0" w:space="0" w:color="auto"/>
          </w:divBdr>
        </w:div>
        <w:div w:id="358700921">
          <w:marLeft w:val="0"/>
          <w:marRight w:val="0"/>
          <w:marTop w:val="0"/>
          <w:marBottom w:val="0"/>
          <w:divBdr>
            <w:top w:val="none" w:sz="0" w:space="0" w:color="auto"/>
            <w:left w:val="none" w:sz="0" w:space="0" w:color="auto"/>
            <w:bottom w:val="none" w:sz="0" w:space="0" w:color="auto"/>
            <w:right w:val="none" w:sz="0" w:space="0" w:color="auto"/>
          </w:divBdr>
        </w:div>
        <w:div w:id="648022476">
          <w:marLeft w:val="0"/>
          <w:marRight w:val="0"/>
          <w:marTop w:val="0"/>
          <w:marBottom w:val="0"/>
          <w:divBdr>
            <w:top w:val="none" w:sz="0" w:space="0" w:color="auto"/>
            <w:left w:val="none" w:sz="0" w:space="0" w:color="auto"/>
            <w:bottom w:val="none" w:sz="0" w:space="0" w:color="auto"/>
            <w:right w:val="none" w:sz="0" w:space="0" w:color="auto"/>
          </w:divBdr>
        </w:div>
        <w:div w:id="900602717">
          <w:marLeft w:val="0"/>
          <w:marRight w:val="0"/>
          <w:marTop w:val="0"/>
          <w:marBottom w:val="0"/>
          <w:divBdr>
            <w:top w:val="none" w:sz="0" w:space="0" w:color="auto"/>
            <w:left w:val="none" w:sz="0" w:space="0" w:color="auto"/>
            <w:bottom w:val="none" w:sz="0" w:space="0" w:color="auto"/>
            <w:right w:val="none" w:sz="0" w:space="0" w:color="auto"/>
          </w:divBdr>
        </w:div>
        <w:div w:id="1049915264">
          <w:marLeft w:val="0"/>
          <w:marRight w:val="0"/>
          <w:marTop w:val="0"/>
          <w:marBottom w:val="0"/>
          <w:divBdr>
            <w:top w:val="none" w:sz="0" w:space="0" w:color="auto"/>
            <w:left w:val="none" w:sz="0" w:space="0" w:color="auto"/>
            <w:bottom w:val="none" w:sz="0" w:space="0" w:color="auto"/>
            <w:right w:val="none" w:sz="0" w:space="0" w:color="auto"/>
          </w:divBdr>
        </w:div>
        <w:div w:id="1437749588">
          <w:marLeft w:val="0"/>
          <w:marRight w:val="0"/>
          <w:marTop w:val="0"/>
          <w:marBottom w:val="0"/>
          <w:divBdr>
            <w:top w:val="none" w:sz="0" w:space="0" w:color="auto"/>
            <w:left w:val="none" w:sz="0" w:space="0" w:color="auto"/>
            <w:bottom w:val="none" w:sz="0" w:space="0" w:color="auto"/>
            <w:right w:val="none" w:sz="0" w:space="0" w:color="auto"/>
          </w:divBdr>
        </w:div>
        <w:div w:id="1481573689">
          <w:marLeft w:val="0"/>
          <w:marRight w:val="0"/>
          <w:marTop w:val="0"/>
          <w:marBottom w:val="0"/>
          <w:divBdr>
            <w:top w:val="none" w:sz="0" w:space="0" w:color="auto"/>
            <w:left w:val="none" w:sz="0" w:space="0" w:color="auto"/>
            <w:bottom w:val="none" w:sz="0" w:space="0" w:color="auto"/>
            <w:right w:val="none" w:sz="0" w:space="0" w:color="auto"/>
          </w:divBdr>
        </w:div>
        <w:div w:id="1534532309">
          <w:marLeft w:val="0"/>
          <w:marRight w:val="0"/>
          <w:marTop w:val="0"/>
          <w:marBottom w:val="0"/>
          <w:divBdr>
            <w:top w:val="none" w:sz="0" w:space="0" w:color="auto"/>
            <w:left w:val="none" w:sz="0" w:space="0" w:color="auto"/>
            <w:bottom w:val="none" w:sz="0" w:space="0" w:color="auto"/>
            <w:right w:val="none" w:sz="0" w:space="0" w:color="auto"/>
          </w:divBdr>
        </w:div>
        <w:div w:id="1579636968">
          <w:marLeft w:val="0"/>
          <w:marRight w:val="0"/>
          <w:marTop w:val="0"/>
          <w:marBottom w:val="0"/>
          <w:divBdr>
            <w:top w:val="none" w:sz="0" w:space="0" w:color="auto"/>
            <w:left w:val="none" w:sz="0" w:space="0" w:color="auto"/>
            <w:bottom w:val="none" w:sz="0" w:space="0" w:color="auto"/>
            <w:right w:val="none" w:sz="0" w:space="0" w:color="auto"/>
          </w:divBdr>
        </w:div>
        <w:div w:id="1914897198">
          <w:marLeft w:val="0"/>
          <w:marRight w:val="0"/>
          <w:marTop w:val="0"/>
          <w:marBottom w:val="0"/>
          <w:divBdr>
            <w:top w:val="none" w:sz="0" w:space="0" w:color="auto"/>
            <w:left w:val="none" w:sz="0" w:space="0" w:color="auto"/>
            <w:bottom w:val="none" w:sz="0" w:space="0" w:color="auto"/>
            <w:right w:val="none" w:sz="0" w:space="0" w:color="auto"/>
          </w:divBdr>
        </w:div>
        <w:div w:id="2040399096">
          <w:marLeft w:val="0"/>
          <w:marRight w:val="0"/>
          <w:marTop w:val="0"/>
          <w:marBottom w:val="0"/>
          <w:divBdr>
            <w:top w:val="none" w:sz="0" w:space="0" w:color="auto"/>
            <w:left w:val="none" w:sz="0" w:space="0" w:color="auto"/>
            <w:bottom w:val="none" w:sz="0" w:space="0" w:color="auto"/>
            <w:right w:val="none" w:sz="0" w:space="0" w:color="auto"/>
          </w:divBdr>
        </w:div>
      </w:divsChild>
    </w:div>
    <w:div w:id="1495493030">
      <w:bodyDiv w:val="1"/>
      <w:marLeft w:val="0"/>
      <w:marRight w:val="0"/>
      <w:marTop w:val="0"/>
      <w:marBottom w:val="0"/>
      <w:divBdr>
        <w:top w:val="none" w:sz="0" w:space="0" w:color="auto"/>
        <w:left w:val="none" w:sz="0" w:space="0" w:color="auto"/>
        <w:bottom w:val="none" w:sz="0" w:space="0" w:color="auto"/>
        <w:right w:val="none" w:sz="0" w:space="0" w:color="auto"/>
      </w:divBdr>
      <w:divsChild>
        <w:div w:id="74940059">
          <w:marLeft w:val="0"/>
          <w:marRight w:val="0"/>
          <w:marTop w:val="0"/>
          <w:marBottom w:val="0"/>
          <w:divBdr>
            <w:top w:val="none" w:sz="0" w:space="0" w:color="auto"/>
            <w:left w:val="none" w:sz="0" w:space="0" w:color="auto"/>
            <w:bottom w:val="none" w:sz="0" w:space="0" w:color="auto"/>
            <w:right w:val="none" w:sz="0" w:space="0" w:color="auto"/>
          </w:divBdr>
        </w:div>
        <w:div w:id="860243608">
          <w:marLeft w:val="0"/>
          <w:marRight w:val="0"/>
          <w:marTop w:val="0"/>
          <w:marBottom w:val="0"/>
          <w:divBdr>
            <w:top w:val="none" w:sz="0" w:space="0" w:color="auto"/>
            <w:left w:val="none" w:sz="0" w:space="0" w:color="auto"/>
            <w:bottom w:val="none" w:sz="0" w:space="0" w:color="auto"/>
            <w:right w:val="none" w:sz="0" w:space="0" w:color="auto"/>
          </w:divBdr>
        </w:div>
        <w:div w:id="930822426">
          <w:marLeft w:val="0"/>
          <w:marRight w:val="0"/>
          <w:marTop w:val="0"/>
          <w:marBottom w:val="0"/>
          <w:divBdr>
            <w:top w:val="none" w:sz="0" w:space="0" w:color="auto"/>
            <w:left w:val="none" w:sz="0" w:space="0" w:color="auto"/>
            <w:bottom w:val="none" w:sz="0" w:space="0" w:color="auto"/>
            <w:right w:val="none" w:sz="0" w:space="0" w:color="auto"/>
          </w:divBdr>
        </w:div>
        <w:div w:id="1065832050">
          <w:marLeft w:val="0"/>
          <w:marRight w:val="0"/>
          <w:marTop w:val="0"/>
          <w:marBottom w:val="0"/>
          <w:divBdr>
            <w:top w:val="none" w:sz="0" w:space="0" w:color="auto"/>
            <w:left w:val="none" w:sz="0" w:space="0" w:color="auto"/>
            <w:bottom w:val="none" w:sz="0" w:space="0" w:color="auto"/>
            <w:right w:val="none" w:sz="0" w:space="0" w:color="auto"/>
          </w:divBdr>
        </w:div>
        <w:div w:id="1069614486">
          <w:marLeft w:val="0"/>
          <w:marRight w:val="0"/>
          <w:marTop w:val="0"/>
          <w:marBottom w:val="0"/>
          <w:divBdr>
            <w:top w:val="none" w:sz="0" w:space="0" w:color="auto"/>
            <w:left w:val="none" w:sz="0" w:space="0" w:color="auto"/>
            <w:bottom w:val="none" w:sz="0" w:space="0" w:color="auto"/>
            <w:right w:val="none" w:sz="0" w:space="0" w:color="auto"/>
          </w:divBdr>
        </w:div>
        <w:div w:id="1112818604">
          <w:marLeft w:val="0"/>
          <w:marRight w:val="0"/>
          <w:marTop w:val="0"/>
          <w:marBottom w:val="0"/>
          <w:divBdr>
            <w:top w:val="none" w:sz="0" w:space="0" w:color="auto"/>
            <w:left w:val="none" w:sz="0" w:space="0" w:color="auto"/>
            <w:bottom w:val="none" w:sz="0" w:space="0" w:color="auto"/>
            <w:right w:val="none" w:sz="0" w:space="0" w:color="auto"/>
          </w:divBdr>
        </w:div>
        <w:div w:id="1154494971">
          <w:marLeft w:val="0"/>
          <w:marRight w:val="0"/>
          <w:marTop w:val="0"/>
          <w:marBottom w:val="0"/>
          <w:divBdr>
            <w:top w:val="none" w:sz="0" w:space="0" w:color="auto"/>
            <w:left w:val="none" w:sz="0" w:space="0" w:color="auto"/>
            <w:bottom w:val="none" w:sz="0" w:space="0" w:color="auto"/>
            <w:right w:val="none" w:sz="0" w:space="0" w:color="auto"/>
          </w:divBdr>
        </w:div>
        <w:div w:id="1245646955">
          <w:marLeft w:val="0"/>
          <w:marRight w:val="0"/>
          <w:marTop w:val="0"/>
          <w:marBottom w:val="0"/>
          <w:divBdr>
            <w:top w:val="none" w:sz="0" w:space="0" w:color="auto"/>
            <w:left w:val="none" w:sz="0" w:space="0" w:color="auto"/>
            <w:bottom w:val="none" w:sz="0" w:space="0" w:color="auto"/>
            <w:right w:val="none" w:sz="0" w:space="0" w:color="auto"/>
          </w:divBdr>
        </w:div>
        <w:div w:id="1380789086">
          <w:marLeft w:val="0"/>
          <w:marRight w:val="0"/>
          <w:marTop w:val="0"/>
          <w:marBottom w:val="0"/>
          <w:divBdr>
            <w:top w:val="none" w:sz="0" w:space="0" w:color="auto"/>
            <w:left w:val="none" w:sz="0" w:space="0" w:color="auto"/>
            <w:bottom w:val="none" w:sz="0" w:space="0" w:color="auto"/>
            <w:right w:val="none" w:sz="0" w:space="0" w:color="auto"/>
          </w:divBdr>
        </w:div>
        <w:div w:id="1492208658">
          <w:marLeft w:val="0"/>
          <w:marRight w:val="0"/>
          <w:marTop w:val="0"/>
          <w:marBottom w:val="0"/>
          <w:divBdr>
            <w:top w:val="none" w:sz="0" w:space="0" w:color="auto"/>
            <w:left w:val="none" w:sz="0" w:space="0" w:color="auto"/>
            <w:bottom w:val="none" w:sz="0" w:space="0" w:color="auto"/>
            <w:right w:val="none" w:sz="0" w:space="0" w:color="auto"/>
          </w:divBdr>
        </w:div>
        <w:div w:id="1579511837">
          <w:marLeft w:val="0"/>
          <w:marRight w:val="0"/>
          <w:marTop w:val="0"/>
          <w:marBottom w:val="0"/>
          <w:divBdr>
            <w:top w:val="none" w:sz="0" w:space="0" w:color="auto"/>
            <w:left w:val="none" w:sz="0" w:space="0" w:color="auto"/>
            <w:bottom w:val="none" w:sz="0" w:space="0" w:color="auto"/>
            <w:right w:val="none" w:sz="0" w:space="0" w:color="auto"/>
          </w:divBdr>
        </w:div>
        <w:div w:id="1877159570">
          <w:marLeft w:val="0"/>
          <w:marRight w:val="0"/>
          <w:marTop w:val="0"/>
          <w:marBottom w:val="0"/>
          <w:divBdr>
            <w:top w:val="none" w:sz="0" w:space="0" w:color="auto"/>
            <w:left w:val="none" w:sz="0" w:space="0" w:color="auto"/>
            <w:bottom w:val="none" w:sz="0" w:space="0" w:color="auto"/>
            <w:right w:val="none" w:sz="0" w:space="0" w:color="auto"/>
          </w:divBdr>
        </w:div>
        <w:div w:id="2081058866">
          <w:marLeft w:val="0"/>
          <w:marRight w:val="0"/>
          <w:marTop w:val="0"/>
          <w:marBottom w:val="0"/>
          <w:divBdr>
            <w:top w:val="none" w:sz="0" w:space="0" w:color="auto"/>
            <w:left w:val="none" w:sz="0" w:space="0" w:color="auto"/>
            <w:bottom w:val="none" w:sz="0" w:space="0" w:color="auto"/>
            <w:right w:val="none" w:sz="0" w:space="0" w:color="auto"/>
          </w:divBdr>
        </w:div>
      </w:divsChild>
    </w:div>
    <w:div w:id="1500777359">
      <w:bodyDiv w:val="1"/>
      <w:marLeft w:val="0"/>
      <w:marRight w:val="0"/>
      <w:marTop w:val="0"/>
      <w:marBottom w:val="0"/>
      <w:divBdr>
        <w:top w:val="none" w:sz="0" w:space="0" w:color="auto"/>
        <w:left w:val="none" w:sz="0" w:space="0" w:color="auto"/>
        <w:bottom w:val="none" w:sz="0" w:space="0" w:color="auto"/>
        <w:right w:val="none" w:sz="0" w:space="0" w:color="auto"/>
      </w:divBdr>
      <w:divsChild>
        <w:div w:id="43532967">
          <w:marLeft w:val="0"/>
          <w:marRight w:val="0"/>
          <w:marTop w:val="0"/>
          <w:marBottom w:val="0"/>
          <w:divBdr>
            <w:top w:val="none" w:sz="0" w:space="0" w:color="auto"/>
            <w:left w:val="none" w:sz="0" w:space="0" w:color="auto"/>
            <w:bottom w:val="none" w:sz="0" w:space="0" w:color="auto"/>
            <w:right w:val="none" w:sz="0" w:space="0" w:color="auto"/>
          </w:divBdr>
        </w:div>
        <w:div w:id="234509566">
          <w:marLeft w:val="0"/>
          <w:marRight w:val="0"/>
          <w:marTop w:val="0"/>
          <w:marBottom w:val="0"/>
          <w:divBdr>
            <w:top w:val="none" w:sz="0" w:space="0" w:color="auto"/>
            <w:left w:val="none" w:sz="0" w:space="0" w:color="auto"/>
            <w:bottom w:val="none" w:sz="0" w:space="0" w:color="auto"/>
            <w:right w:val="none" w:sz="0" w:space="0" w:color="auto"/>
          </w:divBdr>
        </w:div>
        <w:div w:id="303892663">
          <w:marLeft w:val="0"/>
          <w:marRight w:val="0"/>
          <w:marTop w:val="0"/>
          <w:marBottom w:val="0"/>
          <w:divBdr>
            <w:top w:val="none" w:sz="0" w:space="0" w:color="auto"/>
            <w:left w:val="none" w:sz="0" w:space="0" w:color="auto"/>
            <w:bottom w:val="none" w:sz="0" w:space="0" w:color="auto"/>
            <w:right w:val="none" w:sz="0" w:space="0" w:color="auto"/>
          </w:divBdr>
        </w:div>
        <w:div w:id="488987911">
          <w:marLeft w:val="0"/>
          <w:marRight w:val="0"/>
          <w:marTop w:val="0"/>
          <w:marBottom w:val="0"/>
          <w:divBdr>
            <w:top w:val="none" w:sz="0" w:space="0" w:color="auto"/>
            <w:left w:val="none" w:sz="0" w:space="0" w:color="auto"/>
            <w:bottom w:val="none" w:sz="0" w:space="0" w:color="auto"/>
            <w:right w:val="none" w:sz="0" w:space="0" w:color="auto"/>
          </w:divBdr>
        </w:div>
        <w:div w:id="818960987">
          <w:marLeft w:val="0"/>
          <w:marRight w:val="0"/>
          <w:marTop w:val="0"/>
          <w:marBottom w:val="0"/>
          <w:divBdr>
            <w:top w:val="none" w:sz="0" w:space="0" w:color="auto"/>
            <w:left w:val="none" w:sz="0" w:space="0" w:color="auto"/>
            <w:bottom w:val="none" w:sz="0" w:space="0" w:color="auto"/>
            <w:right w:val="none" w:sz="0" w:space="0" w:color="auto"/>
          </w:divBdr>
        </w:div>
        <w:div w:id="859318348">
          <w:marLeft w:val="0"/>
          <w:marRight w:val="0"/>
          <w:marTop w:val="0"/>
          <w:marBottom w:val="0"/>
          <w:divBdr>
            <w:top w:val="none" w:sz="0" w:space="0" w:color="auto"/>
            <w:left w:val="none" w:sz="0" w:space="0" w:color="auto"/>
            <w:bottom w:val="none" w:sz="0" w:space="0" w:color="auto"/>
            <w:right w:val="none" w:sz="0" w:space="0" w:color="auto"/>
          </w:divBdr>
        </w:div>
        <w:div w:id="1870021380">
          <w:marLeft w:val="0"/>
          <w:marRight w:val="0"/>
          <w:marTop w:val="0"/>
          <w:marBottom w:val="0"/>
          <w:divBdr>
            <w:top w:val="none" w:sz="0" w:space="0" w:color="auto"/>
            <w:left w:val="none" w:sz="0" w:space="0" w:color="auto"/>
            <w:bottom w:val="none" w:sz="0" w:space="0" w:color="auto"/>
            <w:right w:val="none" w:sz="0" w:space="0" w:color="auto"/>
          </w:divBdr>
        </w:div>
        <w:div w:id="2038002580">
          <w:marLeft w:val="0"/>
          <w:marRight w:val="0"/>
          <w:marTop w:val="0"/>
          <w:marBottom w:val="0"/>
          <w:divBdr>
            <w:top w:val="none" w:sz="0" w:space="0" w:color="auto"/>
            <w:left w:val="none" w:sz="0" w:space="0" w:color="auto"/>
            <w:bottom w:val="none" w:sz="0" w:space="0" w:color="auto"/>
            <w:right w:val="none" w:sz="0" w:space="0" w:color="auto"/>
          </w:divBdr>
        </w:div>
      </w:divsChild>
    </w:div>
    <w:div w:id="1546333366">
      <w:bodyDiv w:val="1"/>
      <w:marLeft w:val="0"/>
      <w:marRight w:val="0"/>
      <w:marTop w:val="0"/>
      <w:marBottom w:val="0"/>
      <w:divBdr>
        <w:top w:val="none" w:sz="0" w:space="0" w:color="auto"/>
        <w:left w:val="none" w:sz="0" w:space="0" w:color="auto"/>
        <w:bottom w:val="none" w:sz="0" w:space="0" w:color="auto"/>
        <w:right w:val="none" w:sz="0" w:space="0" w:color="auto"/>
      </w:divBdr>
      <w:divsChild>
        <w:div w:id="59255906">
          <w:marLeft w:val="0"/>
          <w:marRight w:val="0"/>
          <w:marTop w:val="0"/>
          <w:marBottom w:val="0"/>
          <w:divBdr>
            <w:top w:val="none" w:sz="0" w:space="0" w:color="auto"/>
            <w:left w:val="none" w:sz="0" w:space="0" w:color="auto"/>
            <w:bottom w:val="none" w:sz="0" w:space="0" w:color="auto"/>
            <w:right w:val="none" w:sz="0" w:space="0" w:color="auto"/>
          </w:divBdr>
        </w:div>
        <w:div w:id="80563313">
          <w:marLeft w:val="0"/>
          <w:marRight w:val="0"/>
          <w:marTop w:val="0"/>
          <w:marBottom w:val="0"/>
          <w:divBdr>
            <w:top w:val="none" w:sz="0" w:space="0" w:color="auto"/>
            <w:left w:val="none" w:sz="0" w:space="0" w:color="auto"/>
            <w:bottom w:val="none" w:sz="0" w:space="0" w:color="auto"/>
            <w:right w:val="none" w:sz="0" w:space="0" w:color="auto"/>
          </w:divBdr>
        </w:div>
        <w:div w:id="482624309">
          <w:marLeft w:val="0"/>
          <w:marRight w:val="0"/>
          <w:marTop w:val="0"/>
          <w:marBottom w:val="0"/>
          <w:divBdr>
            <w:top w:val="none" w:sz="0" w:space="0" w:color="auto"/>
            <w:left w:val="none" w:sz="0" w:space="0" w:color="auto"/>
            <w:bottom w:val="none" w:sz="0" w:space="0" w:color="auto"/>
            <w:right w:val="none" w:sz="0" w:space="0" w:color="auto"/>
          </w:divBdr>
        </w:div>
        <w:div w:id="663701691">
          <w:marLeft w:val="0"/>
          <w:marRight w:val="0"/>
          <w:marTop w:val="0"/>
          <w:marBottom w:val="0"/>
          <w:divBdr>
            <w:top w:val="none" w:sz="0" w:space="0" w:color="auto"/>
            <w:left w:val="none" w:sz="0" w:space="0" w:color="auto"/>
            <w:bottom w:val="none" w:sz="0" w:space="0" w:color="auto"/>
            <w:right w:val="none" w:sz="0" w:space="0" w:color="auto"/>
          </w:divBdr>
        </w:div>
        <w:div w:id="964965099">
          <w:marLeft w:val="0"/>
          <w:marRight w:val="0"/>
          <w:marTop w:val="0"/>
          <w:marBottom w:val="0"/>
          <w:divBdr>
            <w:top w:val="none" w:sz="0" w:space="0" w:color="auto"/>
            <w:left w:val="none" w:sz="0" w:space="0" w:color="auto"/>
            <w:bottom w:val="none" w:sz="0" w:space="0" w:color="auto"/>
            <w:right w:val="none" w:sz="0" w:space="0" w:color="auto"/>
          </w:divBdr>
        </w:div>
        <w:div w:id="1344212505">
          <w:marLeft w:val="0"/>
          <w:marRight w:val="0"/>
          <w:marTop w:val="0"/>
          <w:marBottom w:val="0"/>
          <w:divBdr>
            <w:top w:val="none" w:sz="0" w:space="0" w:color="auto"/>
            <w:left w:val="none" w:sz="0" w:space="0" w:color="auto"/>
            <w:bottom w:val="none" w:sz="0" w:space="0" w:color="auto"/>
            <w:right w:val="none" w:sz="0" w:space="0" w:color="auto"/>
          </w:divBdr>
        </w:div>
        <w:div w:id="1653094718">
          <w:marLeft w:val="0"/>
          <w:marRight w:val="0"/>
          <w:marTop w:val="0"/>
          <w:marBottom w:val="0"/>
          <w:divBdr>
            <w:top w:val="none" w:sz="0" w:space="0" w:color="auto"/>
            <w:left w:val="none" w:sz="0" w:space="0" w:color="auto"/>
            <w:bottom w:val="none" w:sz="0" w:space="0" w:color="auto"/>
            <w:right w:val="none" w:sz="0" w:space="0" w:color="auto"/>
          </w:divBdr>
        </w:div>
      </w:divsChild>
    </w:div>
    <w:div w:id="1560676528">
      <w:bodyDiv w:val="1"/>
      <w:marLeft w:val="0"/>
      <w:marRight w:val="0"/>
      <w:marTop w:val="0"/>
      <w:marBottom w:val="0"/>
      <w:divBdr>
        <w:top w:val="none" w:sz="0" w:space="0" w:color="auto"/>
        <w:left w:val="none" w:sz="0" w:space="0" w:color="auto"/>
        <w:bottom w:val="none" w:sz="0" w:space="0" w:color="auto"/>
        <w:right w:val="none" w:sz="0" w:space="0" w:color="auto"/>
      </w:divBdr>
      <w:divsChild>
        <w:div w:id="1135635557">
          <w:marLeft w:val="0"/>
          <w:marRight w:val="0"/>
          <w:marTop w:val="0"/>
          <w:marBottom w:val="0"/>
          <w:divBdr>
            <w:top w:val="none" w:sz="0" w:space="0" w:color="auto"/>
            <w:left w:val="none" w:sz="0" w:space="0" w:color="auto"/>
            <w:bottom w:val="none" w:sz="0" w:space="0" w:color="auto"/>
            <w:right w:val="none" w:sz="0" w:space="0" w:color="auto"/>
          </w:divBdr>
        </w:div>
        <w:div w:id="1738090915">
          <w:marLeft w:val="0"/>
          <w:marRight w:val="0"/>
          <w:marTop w:val="0"/>
          <w:marBottom w:val="0"/>
          <w:divBdr>
            <w:top w:val="none" w:sz="0" w:space="0" w:color="auto"/>
            <w:left w:val="none" w:sz="0" w:space="0" w:color="auto"/>
            <w:bottom w:val="none" w:sz="0" w:space="0" w:color="auto"/>
            <w:right w:val="none" w:sz="0" w:space="0" w:color="auto"/>
          </w:divBdr>
        </w:div>
        <w:div w:id="1947230258">
          <w:marLeft w:val="0"/>
          <w:marRight w:val="0"/>
          <w:marTop w:val="0"/>
          <w:marBottom w:val="0"/>
          <w:divBdr>
            <w:top w:val="none" w:sz="0" w:space="0" w:color="auto"/>
            <w:left w:val="none" w:sz="0" w:space="0" w:color="auto"/>
            <w:bottom w:val="none" w:sz="0" w:space="0" w:color="auto"/>
            <w:right w:val="none" w:sz="0" w:space="0" w:color="auto"/>
          </w:divBdr>
        </w:div>
        <w:div w:id="1948465088">
          <w:marLeft w:val="0"/>
          <w:marRight w:val="0"/>
          <w:marTop w:val="0"/>
          <w:marBottom w:val="0"/>
          <w:divBdr>
            <w:top w:val="none" w:sz="0" w:space="0" w:color="auto"/>
            <w:left w:val="none" w:sz="0" w:space="0" w:color="auto"/>
            <w:bottom w:val="none" w:sz="0" w:space="0" w:color="auto"/>
            <w:right w:val="none" w:sz="0" w:space="0" w:color="auto"/>
          </w:divBdr>
        </w:div>
        <w:div w:id="2008899289">
          <w:marLeft w:val="0"/>
          <w:marRight w:val="0"/>
          <w:marTop w:val="0"/>
          <w:marBottom w:val="0"/>
          <w:divBdr>
            <w:top w:val="none" w:sz="0" w:space="0" w:color="auto"/>
            <w:left w:val="none" w:sz="0" w:space="0" w:color="auto"/>
            <w:bottom w:val="none" w:sz="0" w:space="0" w:color="auto"/>
            <w:right w:val="none" w:sz="0" w:space="0" w:color="auto"/>
          </w:divBdr>
        </w:div>
      </w:divsChild>
    </w:div>
    <w:div w:id="1569920836">
      <w:bodyDiv w:val="1"/>
      <w:marLeft w:val="0"/>
      <w:marRight w:val="0"/>
      <w:marTop w:val="0"/>
      <w:marBottom w:val="0"/>
      <w:divBdr>
        <w:top w:val="none" w:sz="0" w:space="0" w:color="auto"/>
        <w:left w:val="none" w:sz="0" w:space="0" w:color="auto"/>
        <w:bottom w:val="none" w:sz="0" w:space="0" w:color="auto"/>
        <w:right w:val="none" w:sz="0" w:space="0" w:color="auto"/>
      </w:divBdr>
      <w:divsChild>
        <w:div w:id="49960286">
          <w:marLeft w:val="0"/>
          <w:marRight w:val="0"/>
          <w:marTop w:val="0"/>
          <w:marBottom w:val="0"/>
          <w:divBdr>
            <w:top w:val="none" w:sz="0" w:space="0" w:color="auto"/>
            <w:left w:val="none" w:sz="0" w:space="0" w:color="auto"/>
            <w:bottom w:val="none" w:sz="0" w:space="0" w:color="auto"/>
            <w:right w:val="none" w:sz="0" w:space="0" w:color="auto"/>
          </w:divBdr>
        </w:div>
        <w:div w:id="96292500">
          <w:marLeft w:val="0"/>
          <w:marRight w:val="0"/>
          <w:marTop w:val="0"/>
          <w:marBottom w:val="0"/>
          <w:divBdr>
            <w:top w:val="none" w:sz="0" w:space="0" w:color="auto"/>
            <w:left w:val="none" w:sz="0" w:space="0" w:color="auto"/>
            <w:bottom w:val="none" w:sz="0" w:space="0" w:color="auto"/>
            <w:right w:val="none" w:sz="0" w:space="0" w:color="auto"/>
          </w:divBdr>
        </w:div>
        <w:div w:id="275909582">
          <w:marLeft w:val="0"/>
          <w:marRight w:val="0"/>
          <w:marTop w:val="0"/>
          <w:marBottom w:val="0"/>
          <w:divBdr>
            <w:top w:val="none" w:sz="0" w:space="0" w:color="auto"/>
            <w:left w:val="none" w:sz="0" w:space="0" w:color="auto"/>
            <w:bottom w:val="none" w:sz="0" w:space="0" w:color="auto"/>
            <w:right w:val="none" w:sz="0" w:space="0" w:color="auto"/>
          </w:divBdr>
        </w:div>
        <w:div w:id="364520116">
          <w:marLeft w:val="0"/>
          <w:marRight w:val="0"/>
          <w:marTop w:val="0"/>
          <w:marBottom w:val="0"/>
          <w:divBdr>
            <w:top w:val="none" w:sz="0" w:space="0" w:color="auto"/>
            <w:left w:val="none" w:sz="0" w:space="0" w:color="auto"/>
            <w:bottom w:val="none" w:sz="0" w:space="0" w:color="auto"/>
            <w:right w:val="none" w:sz="0" w:space="0" w:color="auto"/>
          </w:divBdr>
        </w:div>
        <w:div w:id="404181202">
          <w:marLeft w:val="0"/>
          <w:marRight w:val="0"/>
          <w:marTop w:val="0"/>
          <w:marBottom w:val="0"/>
          <w:divBdr>
            <w:top w:val="none" w:sz="0" w:space="0" w:color="auto"/>
            <w:left w:val="none" w:sz="0" w:space="0" w:color="auto"/>
            <w:bottom w:val="none" w:sz="0" w:space="0" w:color="auto"/>
            <w:right w:val="none" w:sz="0" w:space="0" w:color="auto"/>
          </w:divBdr>
        </w:div>
        <w:div w:id="440536899">
          <w:marLeft w:val="0"/>
          <w:marRight w:val="0"/>
          <w:marTop w:val="0"/>
          <w:marBottom w:val="0"/>
          <w:divBdr>
            <w:top w:val="none" w:sz="0" w:space="0" w:color="auto"/>
            <w:left w:val="none" w:sz="0" w:space="0" w:color="auto"/>
            <w:bottom w:val="none" w:sz="0" w:space="0" w:color="auto"/>
            <w:right w:val="none" w:sz="0" w:space="0" w:color="auto"/>
          </w:divBdr>
        </w:div>
        <w:div w:id="1999383652">
          <w:marLeft w:val="0"/>
          <w:marRight w:val="0"/>
          <w:marTop w:val="0"/>
          <w:marBottom w:val="0"/>
          <w:divBdr>
            <w:top w:val="none" w:sz="0" w:space="0" w:color="auto"/>
            <w:left w:val="none" w:sz="0" w:space="0" w:color="auto"/>
            <w:bottom w:val="none" w:sz="0" w:space="0" w:color="auto"/>
            <w:right w:val="none" w:sz="0" w:space="0" w:color="auto"/>
          </w:divBdr>
        </w:div>
      </w:divsChild>
    </w:div>
    <w:div w:id="1582564440">
      <w:bodyDiv w:val="1"/>
      <w:marLeft w:val="0"/>
      <w:marRight w:val="0"/>
      <w:marTop w:val="0"/>
      <w:marBottom w:val="0"/>
      <w:divBdr>
        <w:top w:val="none" w:sz="0" w:space="0" w:color="auto"/>
        <w:left w:val="none" w:sz="0" w:space="0" w:color="auto"/>
        <w:bottom w:val="none" w:sz="0" w:space="0" w:color="auto"/>
        <w:right w:val="none" w:sz="0" w:space="0" w:color="auto"/>
      </w:divBdr>
      <w:divsChild>
        <w:div w:id="264659590">
          <w:marLeft w:val="0"/>
          <w:marRight w:val="0"/>
          <w:marTop w:val="0"/>
          <w:marBottom w:val="0"/>
          <w:divBdr>
            <w:top w:val="none" w:sz="0" w:space="0" w:color="auto"/>
            <w:left w:val="none" w:sz="0" w:space="0" w:color="auto"/>
            <w:bottom w:val="none" w:sz="0" w:space="0" w:color="auto"/>
            <w:right w:val="none" w:sz="0" w:space="0" w:color="auto"/>
          </w:divBdr>
        </w:div>
        <w:div w:id="299573709">
          <w:marLeft w:val="0"/>
          <w:marRight w:val="0"/>
          <w:marTop w:val="0"/>
          <w:marBottom w:val="0"/>
          <w:divBdr>
            <w:top w:val="none" w:sz="0" w:space="0" w:color="auto"/>
            <w:left w:val="none" w:sz="0" w:space="0" w:color="auto"/>
            <w:bottom w:val="none" w:sz="0" w:space="0" w:color="auto"/>
            <w:right w:val="none" w:sz="0" w:space="0" w:color="auto"/>
          </w:divBdr>
        </w:div>
        <w:div w:id="887717759">
          <w:marLeft w:val="0"/>
          <w:marRight w:val="0"/>
          <w:marTop w:val="0"/>
          <w:marBottom w:val="0"/>
          <w:divBdr>
            <w:top w:val="none" w:sz="0" w:space="0" w:color="auto"/>
            <w:left w:val="none" w:sz="0" w:space="0" w:color="auto"/>
            <w:bottom w:val="none" w:sz="0" w:space="0" w:color="auto"/>
            <w:right w:val="none" w:sz="0" w:space="0" w:color="auto"/>
          </w:divBdr>
        </w:div>
        <w:div w:id="988944017">
          <w:marLeft w:val="0"/>
          <w:marRight w:val="0"/>
          <w:marTop w:val="0"/>
          <w:marBottom w:val="0"/>
          <w:divBdr>
            <w:top w:val="none" w:sz="0" w:space="0" w:color="auto"/>
            <w:left w:val="none" w:sz="0" w:space="0" w:color="auto"/>
            <w:bottom w:val="none" w:sz="0" w:space="0" w:color="auto"/>
            <w:right w:val="none" w:sz="0" w:space="0" w:color="auto"/>
          </w:divBdr>
        </w:div>
        <w:div w:id="1161189912">
          <w:marLeft w:val="0"/>
          <w:marRight w:val="0"/>
          <w:marTop w:val="0"/>
          <w:marBottom w:val="0"/>
          <w:divBdr>
            <w:top w:val="none" w:sz="0" w:space="0" w:color="auto"/>
            <w:left w:val="none" w:sz="0" w:space="0" w:color="auto"/>
            <w:bottom w:val="none" w:sz="0" w:space="0" w:color="auto"/>
            <w:right w:val="none" w:sz="0" w:space="0" w:color="auto"/>
          </w:divBdr>
        </w:div>
        <w:div w:id="1479112098">
          <w:marLeft w:val="0"/>
          <w:marRight w:val="0"/>
          <w:marTop w:val="0"/>
          <w:marBottom w:val="0"/>
          <w:divBdr>
            <w:top w:val="none" w:sz="0" w:space="0" w:color="auto"/>
            <w:left w:val="none" w:sz="0" w:space="0" w:color="auto"/>
            <w:bottom w:val="none" w:sz="0" w:space="0" w:color="auto"/>
            <w:right w:val="none" w:sz="0" w:space="0" w:color="auto"/>
          </w:divBdr>
        </w:div>
        <w:div w:id="1585532679">
          <w:marLeft w:val="0"/>
          <w:marRight w:val="0"/>
          <w:marTop w:val="0"/>
          <w:marBottom w:val="0"/>
          <w:divBdr>
            <w:top w:val="none" w:sz="0" w:space="0" w:color="auto"/>
            <w:left w:val="none" w:sz="0" w:space="0" w:color="auto"/>
            <w:bottom w:val="none" w:sz="0" w:space="0" w:color="auto"/>
            <w:right w:val="none" w:sz="0" w:space="0" w:color="auto"/>
          </w:divBdr>
        </w:div>
        <w:div w:id="1736859241">
          <w:marLeft w:val="0"/>
          <w:marRight w:val="0"/>
          <w:marTop w:val="0"/>
          <w:marBottom w:val="0"/>
          <w:divBdr>
            <w:top w:val="none" w:sz="0" w:space="0" w:color="auto"/>
            <w:left w:val="none" w:sz="0" w:space="0" w:color="auto"/>
            <w:bottom w:val="none" w:sz="0" w:space="0" w:color="auto"/>
            <w:right w:val="none" w:sz="0" w:space="0" w:color="auto"/>
          </w:divBdr>
        </w:div>
        <w:div w:id="1762945900">
          <w:marLeft w:val="0"/>
          <w:marRight w:val="0"/>
          <w:marTop w:val="0"/>
          <w:marBottom w:val="0"/>
          <w:divBdr>
            <w:top w:val="none" w:sz="0" w:space="0" w:color="auto"/>
            <w:left w:val="none" w:sz="0" w:space="0" w:color="auto"/>
            <w:bottom w:val="none" w:sz="0" w:space="0" w:color="auto"/>
            <w:right w:val="none" w:sz="0" w:space="0" w:color="auto"/>
          </w:divBdr>
        </w:div>
        <w:div w:id="1798405355">
          <w:marLeft w:val="0"/>
          <w:marRight w:val="0"/>
          <w:marTop w:val="0"/>
          <w:marBottom w:val="0"/>
          <w:divBdr>
            <w:top w:val="none" w:sz="0" w:space="0" w:color="auto"/>
            <w:left w:val="none" w:sz="0" w:space="0" w:color="auto"/>
            <w:bottom w:val="none" w:sz="0" w:space="0" w:color="auto"/>
            <w:right w:val="none" w:sz="0" w:space="0" w:color="auto"/>
          </w:divBdr>
        </w:div>
        <w:div w:id="1843623091">
          <w:marLeft w:val="0"/>
          <w:marRight w:val="0"/>
          <w:marTop w:val="0"/>
          <w:marBottom w:val="0"/>
          <w:divBdr>
            <w:top w:val="none" w:sz="0" w:space="0" w:color="auto"/>
            <w:left w:val="none" w:sz="0" w:space="0" w:color="auto"/>
            <w:bottom w:val="none" w:sz="0" w:space="0" w:color="auto"/>
            <w:right w:val="none" w:sz="0" w:space="0" w:color="auto"/>
          </w:divBdr>
        </w:div>
        <w:div w:id="1907494752">
          <w:marLeft w:val="0"/>
          <w:marRight w:val="0"/>
          <w:marTop w:val="0"/>
          <w:marBottom w:val="0"/>
          <w:divBdr>
            <w:top w:val="none" w:sz="0" w:space="0" w:color="auto"/>
            <w:left w:val="none" w:sz="0" w:space="0" w:color="auto"/>
            <w:bottom w:val="none" w:sz="0" w:space="0" w:color="auto"/>
            <w:right w:val="none" w:sz="0" w:space="0" w:color="auto"/>
          </w:divBdr>
        </w:div>
      </w:divsChild>
    </w:div>
    <w:div w:id="1594585179">
      <w:bodyDiv w:val="1"/>
      <w:marLeft w:val="0"/>
      <w:marRight w:val="0"/>
      <w:marTop w:val="0"/>
      <w:marBottom w:val="0"/>
      <w:divBdr>
        <w:top w:val="none" w:sz="0" w:space="0" w:color="auto"/>
        <w:left w:val="none" w:sz="0" w:space="0" w:color="auto"/>
        <w:bottom w:val="none" w:sz="0" w:space="0" w:color="auto"/>
        <w:right w:val="none" w:sz="0" w:space="0" w:color="auto"/>
      </w:divBdr>
      <w:divsChild>
        <w:div w:id="425351063">
          <w:marLeft w:val="0"/>
          <w:marRight w:val="0"/>
          <w:marTop w:val="0"/>
          <w:marBottom w:val="0"/>
          <w:divBdr>
            <w:top w:val="none" w:sz="0" w:space="0" w:color="auto"/>
            <w:left w:val="none" w:sz="0" w:space="0" w:color="auto"/>
            <w:bottom w:val="none" w:sz="0" w:space="0" w:color="auto"/>
            <w:right w:val="none" w:sz="0" w:space="0" w:color="auto"/>
          </w:divBdr>
        </w:div>
        <w:div w:id="495076892">
          <w:marLeft w:val="0"/>
          <w:marRight w:val="0"/>
          <w:marTop w:val="0"/>
          <w:marBottom w:val="0"/>
          <w:divBdr>
            <w:top w:val="none" w:sz="0" w:space="0" w:color="auto"/>
            <w:left w:val="none" w:sz="0" w:space="0" w:color="auto"/>
            <w:bottom w:val="none" w:sz="0" w:space="0" w:color="auto"/>
            <w:right w:val="none" w:sz="0" w:space="0" w:color="auto"/>
          </w:divBdr>
        </w:div>
        <w:div w:id="1282035561">
          <w:marLeft w:val="0"/>
          <w:marRight w:val="0"/>
          <w:marTop w:val="0"/>
          <w:marBottom w:val="0"/>
          <w:divBdr>
            <w:top w:val="none" w:sz="0" w:space="0" w:color="auto"/>
            <w:left w:val="none" w:sz="0" w:space="0" w:color="auto"/>
            <w:bottom w:val="none" w:sz="0" w:space="0" w:color="auto"/>
            <w:right w:val="none" w:sz="0" w:space="0" w:color="auto"/>
          </w:divBdr>
        </w:div>
        <w:div w:id="1344241025">
          <w:marLeft w:val="0"/>
          <w:marRight w:val="0"/>
          <w:marTop w:val="0"/>
          <w:marBottom w:val="0"/>
          <w:divBdr>
            <w:top w:val="none" w:sz="0" w:space="0" w:color="auto"/>
            <w:left w:val="none" w:sz="0" w:space="0" w:color="auto"/>
            <w:bottom w:val="none" w:sz="0" w:space="0" w:color="auto"/>
            <w:right w:val="none" w:sz="0" w:space="0" w:color="auto"/>
          </w:divBdr>
        </w:div>
      </w:divsChild>
    </w:div>
    <w:div w:id="1597402966">
      <w:bodyDiv w:val="1"/>
      <w:marLeft w:val="0"/>
      <w:marRight w:val="0"/>
      <w:marTop w:val="0"/>
      <w:marBottom w:val="0"/>
      <w:divBdr>
        <w:top w:val="none" w:sz="0" w:space="0" w:color="auto"/>
        <w:left w:val="none" w:sz="0" w:space="0" w:color="auto"/>
        <w:bottom w:val="none" w:sz="0" w:space="0" w:color="auto"/>
        <w:right w:val="none" w:sz="0" w:space="0" w:color="auto"/>
      </w:divBdr>
      <w:divsChild>
        <w:div w:id="257907260">
          <w:marLeft w:val="0"/>
          <w:marRight w:val="0"/>
          <w:marTop w:val="0"/>
          <w:marBottom w:val="0"/>
          <w:divBdr>
            <w:top w:val="none" w:sz="0" w:space="0" w:color="auto"/>
            <w:left w:val="none" w:sz="0" w:space="0" w:color="auto"/>
            <w:bottom w:val="none" w:sz="0" w:space="0" w:color="auto"/>
            <w:right w:val="none" w:sz="0" w:space="0" w:color="auto"/>
          </w:divBdr>
        </w:div>
        <w:div w:id="323826886">
          <w:marLeft w:val="0"/>
          <w:marRight w:val="0"/>
          <w:marTop w:val="0"/>
          <w:marBottom w:val="0"/>
          <w:divBdr>
            <w:top w:val="none" w:sz="0" w:space="0" w:color="auto"/>
            <w:left w:val="none" w:sz="0" w:space="0" w:color="auto"/>
            <w:bottom w:val="none" w:sz="0" w:space="0" w:color="auto"/>
            <w:right w:val="none" w:sz="0" w:space="0" w:color="auto"/>
          </w:divBdr>
        </w:div>
        <w:div w:id="511800282">
          <w:marLeft w:val="0"/>
          <w:marRight w:val="0"/>
          <w:marTop w:val="0"/>
          <w:marBottom w:val="0"/>
          <w:divBdr>
            <w:top w:val="none" w:sz="0" w:space="0" w:color="auto"/>
            <w:left w:val="none" w:sz="0" w:space="0" w:color="auto"/>
            <w:bottom w:val="none" w:sz="0" w:space="0" w:color="auto"/>
            <w:right w:val="none" w:sz="0" w:space="0" w:color="auto"/>
          </w:divBdr>
          <w:divsChild>
            <w:div w:id="214633193">
              <w:marLeft w:val="0"/>
              <w:marRight w:val="0"/>
              <w:marTop w:val="0"/>
              <w:marBottom w:val="0"/>
              <w:divBdr>
                <w:top w:val="none" w:sz="0" w:space="0" w:color="auto"/>
                <w:left w:val="none" w:sz="0" w:space="0" w:color="auto"/>
                <w:bottom w:val="none" w:sz="0" w:space="0" w:color="auto"/>
                <w:right w:val="none" w:sz="0" w:space="0" w:color="auto"/>
              </w:divBdr>
            </w:div>
            <w:div w:id="471482948">
              <w:marLeft w:val="0"/>
              <w:marRight w:val="0"/>
              <w:marTop w:val="0"/>
              <w:marBottom w:val="0"/>
              <w:divBdr>
                <w:top w:val="none" w:sz="0" w:space="0" w:color="auto"/>
                <w:left w:val="none" w:sz="0" w:space="0" w:color="auto"/>
                <w:bottom w:val="none" w:sz="0" w:space="0" w:color="auto"/>
                <w:right w:val="none" w:sz="0" w:space="0" w:color="auto"/>
              </w:divBdr>
            </w:div>
            <w:div w:id="972056021">
              <w:marLeft w:val="0"/>
              <w:marRight w:val="0"/>
              <w:marTop w:val="0"/>
              <w:marBottom w:val="0"/>
              <w:divBdr>
                <w:top w:val="none" w:sz="0" w:space="0" w:color="auto"/>
                <w:left w:val="none" w:sz="0" w:space="0" w:color="auto"/>
                <w:bottom w:val="none" w:sz="0" w:space="0" w:color="auto"/>
                <w:right w:val="none" w:sz="0" w:space="0" w:color="auto"/>
              </w:divBdr>
            </w:div>
            <w:div w:id="1008600047">
              <w:marLeft w:val="0"/>
              <w:marRight w:val="0"/>
              <w:marTop w:val="0"/>
              <w:marBottom w:val="0"/>
              <w:divBdr>
                <w:top w:val="none" w:sz="0" w:space="0" w:color="auto"/>
                <w:left w:val="none" w:sz="0" w:space="0" w:color="auto"/>
                <w:bottom w:val="none" w:sz="0" w:space="0" w:color="auto"/>
                <w:right w:val="none" w:sz="0" w:space="0" w:color="auto"/>
              </w:divBdr>
            </w:div>
            <w:div w:id="1416172389">
              <w:marLeft w:val="0"/>
              <w:marRight w:val="0"/>
              <w:marTop w:val="0"/>
              <w:marBottom w:val="0"/>
              <w:divBdr>
                <w:top w:val="none" w:sz="0" w:space="0" w:color="auto"/>
                <w:left w:val="none" w:sz="0" w:space="0" w:color="auto"/>
                <w:bottom w:val="none" w:sz="0" w:space="0" w:color="auto"/>
                <w:right w:val="none" w:sz="0" w:space="0" w:color="auto"/>
              </w:divBdr>
            </w:div>
          </w:divsChild>
        </w:div>
        <w:div w:id="632100448">
          <w:marLeft w:val="0"/>
          <w:marRight w:val="0"/>
          <w:marTop w:val="0"/>
          <w:marBottom w:val="0"/>
          <w:divBdr>
            <w:top w:val="none" w:sz="0" w:space="0" w:color="auto"/>
            <w:left w:val="none" w:sz="0" w:space="0" w:color="auto"/>
            <w:bottom w:val="none" w:sz="0" w:space="0" w:color="auto"/>
            <w:right w:val="none" w:sz="0" w:space="0" w:color="auto"/>
          </w:divBdr>
        </w:div>
        <w:div w:id="1637182695">
          <w:marLeft w:val="0"/>
          <w:marRight w:val="0"/>
          <w:marTop w:val="0"/>
          <w:marBottom w:val="0"/>
          <w:divBdr>
            <w:top w:val="none" w:sz="0" w:space="0" w:color="auto"/>
            <w:left w:val="none" w:sz="0" w:space="0" w:color="auto"/>
            <w:bottom w:val="none" w:sz="0" w:space="0" w:color="auto"/>
            <w:right w:val="none" w:sz="0" w:space="0" w:color="auto"/>
          </w:divBdr>
        </w:div>
        <w:div w:id="1835760655">
          <w:marLeft w:val="0"/>
          <w:marRight w:val="0"/>
          <w:marTop w:val="0"/>
          <w:marBottom w:val="0"/>
          <w:divBdr>
            <w:top w:val="none" w:sz="0" w:space="0" w:color="auto"/>
            <w:left w:val="none" w:sz="0" w:space="0" w:color="auto"/>
            <w:bottom w:val="none" w:sz="0" w:space="0" w:color="auto"/>
            <w:right w:val="none" w:sz="0" w:space="0" w:color="auto"/>
          </w:divBdr>
        </w:div>
        <w:div w:id="2035954485">
          <w:marLeft w:val="0"/>
          <w:marRight w:val="0"/>
          <w:marTop w:val="0"/>
          <w:marBottom w:val="0"/>
          <w:divBdr>
            <w:top w:val="none" w:sz="0" w:space="0" w:color="auto"/>
            <w:left w:val="none" w:sz="0" w:space="0" w:color="auto"/>
            <w:bottom w:val="none" w:sz="0" w:space="0" w:color="auto"/>
            <w:right w:val="none" w:sz="0" w:space="0" w:color="auto"/>
          </w:divBdr>
        </w:div>
      </w:divsChild>
    </w:div>
    <w:div w:id="1614512047">
      <w:bodyDiv w:val="1"/>
      <w:marLeft w:val="0"/>
      <w:marRight w:val="0"/>
      <w:marTop w:val="0"/>
      <w:marBottom w:val="0"/>
      <w:divBdr>
        <w:top w:val="none" w:sz="0" w:space="0" w:color="auto"/>
        <w:left w:val="none" w:sz="0" w:space="0" w:color="auto"/>
        <w:bottom w:val="none" w:sz="0" w:space="0" w:color="auto"/>
        <w:right w:val="none" w:sz="0" w:space="0" w:color="auto"/>
      </w:divBdr>
      <w:divsChild>
        <w:div w:id="172575344">
          <w:marLeft w:val="0"/>
          <w:marRight w:val="0"/>
          <w:marTop w:val="0"/>
          <w:marBottom w:val="0"/>
          <w:divBdr>
            <w:top w:val="none" w:sz="0" w:space="0" w:color="auto"/>
            <w:left w:val="none" w:sz="0" w:space="0" w:color="auto"/>
            <w:bottom w:val="none" w:sz="0" w:space="0" w:color="auto"/>
            <w:right w:val="none" w:sz="0" w:space="0" w:color="auto"/>
          </w:divBdr>
        </w:div>
        <w:div w:id="195777603">
          <w:marLeft w:val="0"/>
          <w:marRight w:val="0"/>
          <w:marTop w:val="0"/>
          <w:marBottom w:val="0"/>
          <w:divBdr>
            <w:top w:val="none" w:sz="0" w:space="0" w:color="auto"/>
            <w:left w:val="none" w:sz="0" w:space="0" w:color="auto"/>
            <w:bottom w:val="none" w:sz="0" w:space="0" w:color="auto"/>
            <w:right w:val="none" w:sz="0" w:space="0" w:color="auto"/>
          </w:divBdr>
        </w:div>
        <w:div w:id="681903907">
          <w:marLeft w:val="0"/>
          <w:marRight w:val="0"/>
          <w:marTop w:val="0"/>
          <w:marBottom w:val="0"/>
          <w:divBdr>
            <w:top w:val="none" w:sz="0" w:space="0" w:color="auto"/>
            <w:left w:val="none" w:sz="0" w:space="0" w:color="auto"/>
            <w:bottom w:val="none" w:sz="0" w:space="0" w:color="auto"/>
            <w:right w:val="none" w:sz="0" w:space="0" w:color="auto"/>
          </w:divBdr>
        </w:div>
        <w:div w:id="1168639146">
          <w:marLeft w:val="0"/>
          <w:marRight w:val="0"/>
          <w:marTop w:val="0"/>
          <w:marBottom w:val="0"/>
          <w:divBdr>
            <w:top w:val="none" w:sz="0" w:space="0" w:color="auto"/>
            <w:left w:val="none" w:sz="0" w:space="0" w:color="auto"/>
            <w:bottom w:val="none" w:sz="0" w:space="0" w:color="auto"/>
            <w:right w:val="none" w:sz="0" w:space="0" w:color="auto"/>
          </w:divBdr>
        </w:div>
        <w:div w:id="1391075107">
          <w:marLeft w:val="0"/>
          <w:marRight w:val="0"/>
          <w:marTop w:val="0"/>
          <w:marBottom w:val="0"/>
          <w:divBdr>
            <w:top w:val="none" w:sz="0" w:space="0" w:color="auto"/>
            <w:left w:val="none" w:sz="0" w:space="0" w:color="auto"/>
            <w:bottom w:val="none" w:sz="0" w:space="0" w:color="auto"/>
            <w:right w:val="none" w:sz="0" w:space="0" w:color="auto"/>
          </w:divBdr>
        </w:div>
        <w:div w:id="1433090459">
          <w:marLeft w:val="0"/>
          <w:marRight w:val="0"/>
          <w:marTop w:val="0"/>
          <w:marBottom w:val="0"/>
          <w:divBdr>
            <w:top w:val="none" w:sz="0" w:space="0" w:color="auto"/>
            <w:left w:val="none" w:sz="0" w:space="0" w:color="auto"/>
            <w:bottom w:val="none" w:sz="0" w:space="0" w:color="auto"/>
            <w:right w:val="none" w:sz="0" w:space="0" w:color="auto"/>
          </w:divBdr>
        </w:div>
        <w:div w:id="2068648940">
          <w:marLeft w:val="0"/>
          <w:marRight w:val="0"/>
          <w:marTop w:val="0"/>
          <w:marBottom w:val="0"/>
          <w:divBdr>
            <w:top w:val="none" w:sz="0" w:space="0" w:color="auto"/>
            <w:left w:val="none" w:sz="0" w:space="0" w:color="auto"/>
            <w:bottom w:val="none" w:sz="0" w:space="0" w:color="auto"/>
            <w:right w:val="none" w:sz="0" w:space="0" w:color="auto"/>
          </w:divBdr>
        </w:div>
      </w:divsChild>
    </w:div>
    <w:div w:id="1639797896">
      <w:bodyDiv w:val="1"/>
      <w:marLeft w:val="0"/>
      <w:marRight w:val="0"/>
      <w:marTop w:val="0"/>
      <w:marBottom w:val="0"/>
      <w:divBdr>
        <w:top w:val="none" w:sz="0" w:space="0" w:color="auto"/>
        <w:left w:val="none" w:sz="0" w:space="0" w:color="auto"/>
        <w:bottom w:val="none" w:sz="0" w:space="0" w:color="auto"/>
        <w:right w:val="none" w:sz="0" w:space="0" w:color="auto"/>
      </w:divBdr>
      <w:divsChild>
        <w:div w:id="96681834">
          <w:marLeft w:val="0"/>
          <w:marRight w:val="0"/>
          <w:marTop w:val="0"/>
          <w:marBottom w:val="0"/>
          <w:divBdr>
            <w:top w:val="none" w:sz="0" w:space="0" w:color="auto"/>
            <w:left w:val="none" w:sz="0" w:space="0" w:color="auto"/>
            <w:bottom w:val="none" w:sz="0" w:space="0" w:color="auto"/>
            <w:right w:val="none" w:sz="0" w:space="0" w:color="auto"/>
          </w:divBdr>
        </w:div>
        <w:div w:id="114033530">
          <w:marLeft w:val="0"/>
          <w:marRight w:val="0"/>
          <w:marTop w:val="0"/>
          <w:marBottom w:val="0"/>
          <w:divBdr>
            <w:top w:val="none" w:sz="0" w:space="0" w:color="auto"/>
            <w:left w:val="none" w:sz="0" w:space="0" w:color="auto"/>
            <w:bottom w:val="none" w:sz="0" w:space="0" w:color="auto"/>
            <w:right w:val="none" w:sz="0" w:space="0" w:color="auto"/>
          </w:divBdr>
        </w:div>
        <w:div w:id="145900294">
          <w:marLeft w:val="0"/>
          <w:marRight w:val="0"/>
          <w:marTop w:val="0"/>
          <w:marBottom w:val="0"/>
          <w:divBdr>
            <w:top w:val="none" w:sz="0" w:space="0" w:color="auto"/>
            <w:left w:val="none" w:sz="0" w:space="0" w:color="auto"/>
            <w:bottom w:val="none" w:sz="0" w:space="0" w:color="auto"/>
            <w:right w:val="none" w:sz="0" w:space="0" w:color="auto"/>
          </w:divBdr>
        </w:div>
        <w:div w:id="1461217718">
          <w:marLeft w:val="0"/>
          <w:marRight w:val="0"/>
          <w:marTop w:val="0"/>
          <w:marBottom w:val="0"/>
          <w:divBdr>
            <w:top w:val="none" w:sz="0" w:space="0" w:color="auto"/>
            <w:left w:val="none" w:sz="0" w:space="0" w:color="auto"/>
            <w:bottom w:val="none" w:sz="0" w:space="0" w:color="auto"/>
            <w:right w:val="none" w:sz="0" w:space="0" w:color="auto"/>
          </w:divBdr>
        </w:div>
        <w:div w:id="1489981439">
          <w:marLeft w:val="0"/>
          <w:marRight w:val="0"/>
          <w:marTop w:val="0"/>
          <w:marBottom w:val="0"/>
          <w:divBdr>
            <w:top w:val="none" w:sz="0" w:space="0" w:color="auto"/>
            <w:left w:val="none" w:sz="0" w:space="0" w:color="auto"/>
            <w:bottom w:val="none" w:sz="0" w:space="0" w:color="auto"/>
            <w:right w:val="none" w:sz="0" w:space="0" w:color="auto"/>
          </w:divBdr>
        </w:div>
        <w:div w:id="1688284610">
          <w:marLeft w:val="0"/>
          <w:marRight w:val="0"/>
          <w:marTop w:val="0"/>
          <w:marBottom w:val="0"/>
          <w:divBdr>
            <w:top w:val="none" w:sz="0" w:space="0" w:color="auto"/>
            <w:left w:val="none" w:sz="0" w:space="0" w:color="auto"/>
            <w:bottom w:val="none" w:sz="0" w:space="0" w:color="auto"/>
            <w:right w:val="none" w:sz="0" w:space="0" w:color="auto"/>
          </w:divBdr>
        </w:div>
      </w:divsChild>
    </w:div>
    <w:div w:id="1679236873">
      <w:bodyDiv w:val="1"/>
      <w:marLeft w:val="0"/>
      <w:marRight w:val="0"/>
      <w:marTop w:val="0"/>
      <w:marBottom w:val="0"/>
      <w:divBdr>
        <w:top w:val="none" w:sz="0" w:space="0" w:color="auto"/>
        <w:left w:val="none" w:sz="0" w:space="0" w:color="auto"/>
        <w:bottom w:val="none" w:sz="0" w:space="0" w:color="auto"/>
        <w:right w:val="none" w:sz="0" w:space="0" w:color="auto"/>
      </w:divBdr>
      <w:divsChild>
        <w:div w:id="75903239">
          <w:marLeft w:val="0"/>
          <w:marRight w:val="0"/>
          <w:marTop w:val="0"/>
          <w:marBottom w:val="0"/>
          <w:divBdr>
            <w:top w:val="none" w:sz="0" w:space="0" w:color="auto"/>
            <w:left w:val="none" w:sz="0" w:space="0" w:color="auto"/>
            <w:bottom w:val="none" w:sz="0" w:space="0" w:color="auto"/>
            <w:right w:val="none" w:sz="0" w:space="0" w:color="auto"/>
          </w:divBdr>
        </w:div>
        <w:div w:id="153297924">
          <w:marLeft w:val="0"/>
          <w:marRight w:val="0"/>
          <w:marTop w:val="0"/>
          <w:marBottom w:val="0"/>
          <w:divBdr>
            <w:top w:val="none" w:sz="0" w:space="0" w:color="auto"/>
            <w:left w:val="none" w:sz="0" w:space="0" w:color="auto"/>
            <w:bottom w:val="none" w:sz="0" w:space="0" w:color="auto"/>
            <w:right w:val="none" w:sz="0" w:space="0" w:color="auto"/>
          </w:divBdr>
        </w:div>
        <w:div w:id="376897844">
          <w:marLeft w:val="0"/>
          <w:marRight w:val="0"/>
          <w:marTop w:val="0"/>
          <w:marBottom w:val="0"/>
          <w:divBdr>
            <w:top w:val="none" w:sz="0" w:space="0" w:color="auto"/>
            <w:left w:val="none" w:sz="0" w:space="0" w:color="auto"/>
            <w:bottom w:val="none" w:sz="0" w:space="0" w:color="auto"/>
            <w:right w:val="none" w:sz="0" w:space="0" w:color="auto"/>
          </w:divBdr>
        </w:div>
        <w:div w:id="421031297">
          <w:marLeft w:val="0"/>
          <w:marRight w:val="0"/>
          <w:marTop w:val="0"/>
          <w:marBottom w:val="0"/>
          <w:divBdr>
            <w:top w:val="none" w:sz="0" w:space="0" w:color="auto"/>
            <w:left w:val="none" w:sz="0" w:space="0" w:color="auto"/>
            <w:bottom w:val="none" w:sz="0" w:space="0" w:color="auto"/>
            <w:right w:val="none" w:sz="0" w:space="0" w:color="auto"/>
          </w:divBdr>
        </w:div>
        <w:div w:id="758211333">
          <w:marLeft w:val="0"/>
          <w:marRight w:val="0"/>
          <w:marTop w:val="0"/>
          <w:marBottom w:val="0"/>
          <w:divBdr>
            <w:top w:val="none" w:sz="0" w:space="0" w:color="auto"/>
            <w:left w:val="none" w:sz="0" w:space="0" w:color="auto"/>
            <w:bottom w:val="none" w:sz="0" w:space="0" w:color="auto"/>
            <w:right w:val="none" w:sz="0" w:space="0" w:color="auto"/>
          </w:divBdr>
        </w:div>
        <w:div w:id="902834616">
          <w:marLeft w:val="0"/>
          <w:marRight w:val="0"/>
          <w:marTop w:val="0"/>
          <w:marBottom w:val="0"/>
          <w:divBdr>
            <w:top w:val="none" w:sz="0" w:space="0" w:color="auto"/>
            <w:left w:val="none" w:sz="0" w:space="0" w:color="auto"/>
            <w:bottom w:val="none" w:sz="0" w:space="0" w:color="auto"/>
            <w:right w:val="none" w:sz="0" w:space="0" w:color="auto"/>
          </w:divBdr>
        </w:div>
        <w:div w:id="903490779">
          <w:marLeft w:val="0"/>
          <w:marRight w:val="0"/>
          <w:marTop w:val="0"/>
          <w:marBottom w:val="0"/>
          <w:divBdr>
            <w:top w:val="none" w:sz="0" w:space="0" w:color="auto"/>
            <w:left w:val="none" w:sz="0" w:space="0" w:color="auto"/>
            <w:bottom w:val="none" w:sz="0" w:space="0" w:color="auto"/>
            <w:right w:val="none" w:sz="0" w:space="0" w:color="auto"/>
          </w:divBdr>
        </w:div>
        <w:div w:id="979960720">
          <w:marLeft w:val="0"/>
          <w:marRight w:val="0"/>
          <w:marTop w:val="0"/>
          <w:marBottom w:val="0"/>
          <w:divBdr>
            <w:top w:val="none" w:sz="0" w:space="0" w:color="auto"/>
            <w:left w:val="none" w:sz="0" w:space="0" w:color="auto"/>
            <w:bottom w:val="none" w:sz="0" w:space="0" w:color="auto"/>
            <w:right w:val="none" w:sz="0" w:space="0" w:color="auto"/>
          </w:divBdr>
        </w:div>
        <w:div w:id="1279992752">
          <w:marLeft w:val="0"/>
          <w:marRight w:val="0"/>
          <w:marTop w:val="0"/>
          <w:marBottom w:val="0"/>
          <w:divBdr>
            <w:top w:val="none" w:sz="0" w:space="0" w:color="auto"/>
            <w:left w:val="none" w:sz="0" w:space="0" w:color="auto"/>
            <w:bottom w:val="none" w:sz="0" w:space="0" w:color="auto"/>
            <w:right w:val="none" w:sz="0" w:space="0" w:color="auto"/>
          </w:divBdr>
        </w:div>
        <w:div w:id="1662389986">
          <w:marLeft w:val="0"/>
          <w:marRight w:val="0"/>
          <w:marTop w:val="0"/>
          <w:marBottom w:val="0"/>
          <w:divBdr>
            <w:top w:val="none" w:sz="0" w:space="0" w:color="auto"/>
            <w:left w:val="none" w:sz="0" w:space="0" w:color="auto"/>
            <w:bottom w:val="none" w:sz="0" w:space="0" w:color="auto"/>
            <w:right w:val="none" w:sz="0" w:space="0" w:color="auto"/>
          </w:divBdr>
        </w:div>
        <w:div w:id="1922523385">
          <w:marLeft w:val="0"/>
          <w:marRight w:val="0"/>
          <w:marTop w:val="0"/>
          <w:marBottom w:val="0"/>
          <w:divBdr>
            <w:top w:val="none" w:sz="0" w:space="0" w:color="auto"/>
            <w:left w:val="none" w:sz="0" w:space="0" w:color="auto"/>
            <w:bottom w:val="none" w:sz="0" w:space="0" w:color="auto"/>
            <w:right w:val="none" w:sz="0" w:space="0" w:color="auto"/>
          </w:divBdr>
        </w:div>
      </w:divsChild>
    </w:div>
    <w:div w:id="1689218002">
      <w:bodyDiv w:val="1"/>
      <w:marLeft w:val="0"/>
      <w:marRight w:val="0"/>
      <w:marTop w:val="0"/>
      <w:marBottom w:val="0"/>
      <w:divBdr>
        <w:top w:val="none" w:sz="0" w:space="0" w:color="auto"/>
        <w:left w:val="none" w:sz="0" w:space="0" w:color="auto"/>
        <w:bottom w:val="none" w:sz="0" w:space="0" w:color="auto"/>
        <w:right w:val="none" w:sz="0" w:space="0" w:color="auto"/>
      </w:divBdr>
      <w:divsChild>
        <w:div w:id="62486479">
          <w:marLeft w:val="0"/>
          <w:marRight w:val="0"/>
          <w:marTop w:val="0"/>
          <w:marBottom w:val="0"/>
          <w:divBdr>
            <w:top w:val="none" w:sz="0" w:space="0" w:color="auto"/>
            <w:left w:val="none" w:sz="0" w:space="0" w:color="auto"/>
            <w:bottom w:val="none" w:sz="0" w:space="0" w:color="auto"/>
            <w:right w:val="none" w:sz="0" w:space="0" w:color="auto"/>
          </w:divBdr>
        </w:div>
        <w:div w:id="90199870">
          <w:marLeft w:val="0"/>
          <w:marRight w:val="0"/>
          <w:marTop w:val="0"/>
          <w:marBottom w:val="0"/>
          <w:divBdr>
            <w:top w:val="none" w:sz="0" w:space="0" w:color="auto"/>
            <w:left w:val="none" w:sz="0" w:space="0" w:color="auto"/>
            <w:bottom w:val="none" w:sz="0" w:space="0" w:color="auto"/>
            <w:right w:val="none" w:sz="0" w:space="0" w:color="auto"/>
          </w:divBdr>
        </w:div>
        <w:div w:id="313263229">
          <w:marLeft w:val="0"/>
          <w:marRight w:val="0"/>
          <w:marTop w:val="0"/>
          <w:marBottom w:val="0"/>
          <w:divBdr>
            <w:top w:val="none" w:sz="0" w:space="0" w:color="auto"/>
            <w:left w:val="none" w:sz="0" w:space="0" w:color="auto"/>
            <w:bottom w:val="none" w:sz="0" w:space="0" w:color="auto"/>
            <w:right w:val="none" w:sz="0" w:space="0" w:color="auto"/>
          </w:divBdr>
        </w:div>
        <w:div w:id="754864703">
          <w:marLeft w:val="0"/>
          <w:marRight w:val="0"/>
          <w:marTop w:val="0"/>
          <w:marBottom w:val="0"/>
          <w:divBdr>
            <w:top w:val="none" w:sz="0" w:space="0" w:color="auto"/>
            <w:left w:val="none" w:sz="0" w:space="0" w:color="auto"/>
            <w:bottom w:val="none" w:sz="0" w:space="0" w:color="auto"/>
            <w:right w:val="none" w:sz="0" w:space="0" w:color="auto"/>
          </w:divBdr>
        </w:div>
        <w:div w:id="781924786">
          <w:marLeft w:val="0"/>
          <w:marRight w:val="0"/>
          <w:marTop w:val="0"/>
          <w:marBottom w:val="0"/>
          <w:divBdr>
            <w:top w:val="none" w:sz="0" w:space="0" w:color="auto"/>
            <w:left w:val="none" w:sz="0" w:space="0" w:color="auto"/>
            <w:bottom w:val="none" w:sz="0" w:space="0" w:color="auto"/>
            <w:right w:val="none" w:sz="0" w:space="0" w:color="auto"/>
          </w:divBdr>
        </w:div>
        <w:div w:id="792987768">
          <w:marLeft w:val="0"/>
          <w:marRight w:val="0"/>
          <w:marTop w:val="0"/>
          <w:marBottom w:val="0"/>
          <w:divBdr>
            <w:top w:val="none" w:sz="0" w:space="0" w:color="auto"/>
            <w:left w:val="none" w:sz="0" w:space="0" w:color="auto"/>
            <w:bottom w:val="none" w:sz="0" w:space="0" w:color="auto"/>
            <w:right w:val="none" w:sz="0" w:space="0" w:color="auto"/>
          </w:divBdr>
        </w:div>
        <w:div w:id="1184897772">
          <w:marLeft w:val="0"/>
          <w:marRight w:val="0"/>
          <w:marTop w:val="0"/>
          <w:marBottom w:val="0"/>
          <w:divBdr>
            <w:top w:val="none" w:sz="0" w:space="0" w:color="auto"/>
            <w:left w:val="none" w:sz="0" w:space="0" w:color="auto"/>
            <w:bottom w:val="none" w:sz="0" w:space="0" w:color="auto"/>
            <w:right w:val="none" w:sz="0" w:space="0" w:color="auto"/>
          </w:divBdr>
        </w:div>
        <w:div w:id="1436247083">
          <w:marLeft w:val="0"/>
          <w:marRight w:val="0"/>
          <w:marTop w:val="0"/>
          <w:marBottom w:val="0"/>
          <w:divBdr>
            <w:top w:val="none" w:sz="0" w:space="0" w:color="auto"/>
            <w:left w:val="none" w:sz="0" w:space="0" w:color="auto"/>
            <w:bottom w:val="none" w:sz="0" w:space="0" w:color="auto"/>
            <w:right w:val="none" w:sz="0" w:space="0" w:color="auto"/>
          </w:divBdr>
        </w:div>
        <w:div w:id="1544366068">
          <w:marLeft w:val="0"/>
          <w:marRight w:val="0"/>
          <w:marTop w:val="0"/>
          <w:marBottom w:val="0"/>
          <w:divBdr>
            <w:top w:val="none" w:sz="0" w:space="0" w:color="auto"/>
            <w:left w:val="none" w:sz="0" w:space="0" w:color="auto"/>
            <w:bottom w:val="none" w:sz="0" w:space="0" w:color="auto"/>
            <w:right w:val="none" w:sz="0" w:space="0" w:color="auto"/>
          </w:divBdr>
        </w:div>
        <w:div w:id="1551922941">
          <w:marLeft w:val="0"/>
          <w:marRight w:val="0"/>
          <w:marTop w:val="0"/>
          <w:marBottom w:val="0"/>
          <w:divBdr>
            <w:top w:val="none" w:sz="0" w:space="0" w:color="auto"/>
            <w:left w:val="none" w:sz="0" w:space="0" w:color="auto"/>
            <w:bottom w:val="none" w:sz="0" w:space="0" w:color="auto"/>
            <w:right w:val="none" w:sz="0" w:space="0" w:color="auto"/>
          </w:divBdr>
        </w:div>
        <w:div w:id="1688559177">
          <w:marLeft w:val="0"/>
          <w:marRight w:val="0"/>
          <w:marTop w:val="0"/>
          <w:marBottom w:val="0"/>
          <w:divBdr>
            <w:top w:val="none" w:sz="0" w:space="0" w:color="auto"/>
            <w:left w:val="none" w:sz="0" w:space="0" w:color="auto"/>
            <w:bottom w:val="none" w:sz="0" w:space="0" w:color="auto"/>
            <w:right w:val="none" w:sz="0" w:space="0" w:color="auto"/>
          </w:divBdr>
        </w:div>
        <w:div w:id="1729300509">
          <w:marLeft w:val="0"/>
          <w:marRight w:val="0"/>
          <w:marTop w:val="0"/>
          <w:marBottom w:val="0"/>
          <w:divBdr>
            <w:top w:val="none" w:sz="0" w:space="0" w:color="auto"/>
            <w:left w:val="none" w:sz="0" w:space="0" w:color="auto"/>
            <w:bottom w:val="none" w:sz="0" w:space="0" w:color="auto"/>
            <w:right w:val="none" w:sz="0" w:space="0" w:color="auto"/>
          </w:divBdr>
        </w:div>
        <w:div w:id="1815367888">
          <w:marLeft w:val="0"/>
          <w:marRight w:val="0"/>
          <w:marTop w:val="0"/>
          <w:marBottom w:val="0"/>
          <w:divBdr>
            <w:top w:val="none" w:sz="0" w:space="0" w:color="auto"/>
            <w:left w:val="none" w:sz="0" w:space="0" w:color="auto"/>
            <w:bottom w:val="none" w:sz="0" w:space="0" w:color="auto"/>
            <w:right w:val="none" w:sz="0" w:space="0" w:color="auto"/>
          </w:divBdr>
        </w:div>
        <w:div w:id="1912620735">
          <w:marLeft w:val="0"/>
          <w:marRight w:val="0"/>
          <w:marTop w:val="0"/>
          <w:marBottom w:val="0"/>
          <w:divBdr>
            <w:top w:val="none" w:sz="0" w:space="0" w:color="auto"/>
            <w:left w:val="none" w:sz="0" w:space="0" w:color="auto"/>
            <w:bottom w:val="none" w:sz="0" w:space="0" w:color="auto"/>
            <w:right w:val="none" w:sz="0" w:space="0" w:color="auto"/>
          </w:divBdr>
        </w:div>
        <w:div w:id="2140687184">
          <w:marLeft w:val="0"/>
          <w:marRight w:val="0"/>
          <w:marTop w:val="0"/>
          <w:marBottom w:val="0"/>
          <w:divBdr>
            <w:top w:val="none" w:sz="0" w:space="0" w:color="auto"/>
            <w:left w:val="none" w:sz="0" w:space="0" w:color="auto"/>
            <w:bottom w:val="none" w:sz="0" w:space="0" w:color="auto"/>
            <w:right w:val="none" w:sz="0" w:space="0" w:color="auto"/>
          </w:divBdr>
        </w:div>
      </w:divsChild>
    </w:div>
    <w:div w:id="1696687072">
      <w:bodyDiv w:val="1"/>
      <w:marLeft w:val="0"/>
      <w:marRight w:val="0"/>
      <w:marTop w:val="0"/>
      <w:marBottom w:val="0"/>
      <w:divBdr>
        <w:top w:val="none" w:sz="0" w:space="0" w:color="auto"/>
        <w:left w:val="none" w:sz="0" w:space="0" w:color="auto"/>
        <w:bottom w:val="none" w:sz="0" w:space="0" w:color="auto"/>
        <w:right w:val="none" w:sz="0" w:space="0" w:color="auto"/>
      </w:divBdr>
      <w:divsChild>
        <w:div w:id="29772492">
          <w:marLeft w:val="0"/>
          <w:marRight w:val="0"/>
          <w:marTop w:val="0"/>
          <w:marBottom w:val="0"/>
          <w:divBdr>
            <w:top w:val="none" w:sz="0" w:space="0" w:color="auto"/>
            <w:left w:val="none" w:sz="0" w:space="0" w:color="auto"/>
            <w:bottom w:val="none" w:sz="0" w:space="0" w:color="auto"/>
            <w:right w:val="none" w:sz="0" w:space="0" w:color="auto"/>
          </w:divBdr>
        </w:div>
        <w:div w:id="384139089">
          <w:marLeft w:val="0"/>
          <w:marRight w:val="0"/>
          <w:marTop w:val="0"/>
          <w:marBottom w:val="0"/>
          <w:divBdr>
            <w:top w:val="none" w:sz="0" w:space="0" w:color="auto"/>
            <w:left w:val="none" w:sz="0" w:space="0" w:color="auto"/>
            <w:bottom w:val="none" w:sz="0" w:space="0" w:color="auto"/>
            <w:right w:val="none" w:sz="0" w:space="0" w:color="auto"/>
          </w:divBdr>
        </w:div>
        <w:div w:id="476726998">
          <w:marLeft w:val="0"/>
          <w:marRight w:val="0"/>
          <w:marTop w:val="0"/>
          <w:marBottom w:val="0"/>
          <w:divBdr>
            <w:top w:val="none" w:sz="0" w:space="0" w:color="auto"/>
            <w:left w:val="none" w:sz="0" w:space="0" w:color="auto"/>
            <w:bottom w:val="none" w:sz="0" w:space="0" w:color="auto"/>
            <w:right w:val="none" w:sz="0" w:space="0" w:color="auto"/>
          </w:divBdr>
        </w:div>
        <w:div w:id="659232215">
          <w:marLeft w:val="0"/>
          <w:marRight w:val="0"/>
          <w:marTop w:val="0"/>
          <w:marBottom w:val="0"/>
          <w:divBdr>
            <w:top w:val="none" w:sz="0" w:space="0" w:color="auto"/>
            <w:left w:val="none" w:sz="0" w:space="0" w:color="auto"/>
            <w:bottom w:val="none" w:sz="0" w:space="0" w:color="auto"/>
            <w:right w:val="none" w:sz="0" w:space="0" w:color="auto"/>
          </w:divBdr>
        </w:div>
        <w:div w:id="683282946">
          <w:marLeft w:val="0"/>
          <w:marRight w:val="0"/>
          <w:marTop w:val="0"/>
          <w:marBottom w:val="0"/>
          <w:divBdr>
            <w:top w:val="none" w:sz="0" w:space="0" w:color="auto"/>
            <w:left w:val="none" w:sz="0" w:space="0" w:color="auto"/>
            <w:bottom w:val="none" w:sz="0" w:space="0" w:color="auto"/>
            <w:right w:val="none" w:sz="0" w:space="0" w:color="auto"/>
          </w:divBdr>
        </w:div>
        <w:div w:id="983657315">
          <w:marLeft w:val="0"/>
          <w:marRight w:val="0"/>
          <w:marTop w:val="0"/>
          <w:marBottom w:val="0"/>
          <w:divBdr>
            <w:top w:val="none" w:sz="0" w:space="0" w:color="auto"/>
            <w:left w:val="none" w:sz="0" w:space="0" w:color="auto"/>
            <w:bottom w:val="none" w:sz="0" w:space="0" w:color="auto"/>
            <w:right w:val="none" w:sz="0" w:space="0" w:color="auto"/>
          </w:divBdr>
        </w:div>
        <w:div w:id="1297445475">
          <w:marLeft w:val="0"/>
          <w:marRight w:val="0"/>
          <w:marTop w:val="0"/>
          <w:marBottom w:val="0"/>
          <w:divBdr>
            <w:top w:val="none" w:sz="0" w:space="0" w:color="auto"/>
            <w:left w:val="none" w:sz="0" w:space="0" w:color="auto"/>
            <w:bottom w:val="none" w:sz="0" w:space="0" w:color="auto"/>
            <w:right w:val="none" w:sz="0" w:space="0" w:color="auto"/>
          </w:divBdr>
        </w:div>
        <w:div w:id="1356225787">
          <w:marLeft w:val="0"/>
          <w:marRight w:val="0"/>
          <w:marTop w:val="0"/>
          <w:marBottom w:val="0"/>
          <w:divBdr>
            <w:top w:val="none" w:sz="0" w:space="0" w:color="auto"/>
            <w:left w:val="none" w:sz="0" w:space="0" w:color="auto"/>
            <w:bottom w:val="none" w:sz="0" w:space="0" w:color="auto"/>
            <w:right w:val="none" w:sz="0" w:space="0" w:color="auto"/>
          </w:divBdr>
        </w:div>
        <w:div w:id="1376390937">
          <w:marLeft w:val="0"/>
          <w:marRight w:val="0"/>
          <w:marTop w:val="0"/>
          <w:marBottom w:val="0"/>
          <w:divBdr>
            <w:top w:val="none" w:sz="0" w:space="0" w:color="auto"/>
            <w:left w:val="none" w:sz="0" w:space="0" w:color="auto"/>
            <w:bottom w:val="none" w:sz="0" w:space="0" w:color="auto"/>
            <w:right w:val="none" w:sz="0" w:space="0" w:color="auto"/>
          </w:divBdr>
        </w:div>
        <w:div w:id="1498231905">
          <w:marLeft w:val="0"/>
          <w:marRight w:val="0"/>
          <w:marTop w:val="0"/>
          <w:marBottom w:val="0"/>
          <w:divBdr>
            <w:top w:val="none" w:sz="0" w:space="0" w:color="auto"/>
            <w:left w:val="none" w:sz="0" w:space="0" w:color="auto"/>
            <w:bottom w:val="none" w:sz="0" w:space="0" w:color="auto"/>
            <w:right w:val="none" w:sz="0" w:space="0" w:color="auto"/>
          </w:divBdr>
        </w:div>
        <w:div w:id="1505171173">
          <w:marLeft w:val="0"/>
          <w:marRight w:val="0"/>
          <w:marTop w:val="0"/>
          <w:marBottom w:val="0"/>
          <w:divBdr>
            <w:top w:val="none" w:sz="0" w:space="0" w:color="auto"/>
            <w:left w:val="none" w:sz="0" w:space="0" w:color="auto"/>
            <w:bottom w:val="none" w:sz="0" w:space="0" w:color="auto"/>
            <w:right w:val="none" w:sz="0" w:space="0" w:color="auto"/>
          </w:divBdr>
        </w:div>
        <w:div w:id="1600525756">
          <w:marLeft w:val="0"/>
          <w:marRight w:val="0"/>
          <w:marTop w:val="0"/>
          <w:marBottom w:val="0"/>
          <w:divBdr>
            <w:top w:val="none" w:sz="0" w:space="0" w:color="auto"/>
            <w:left w:val="none" w:sz="0" w:space="0" w:color="auto"/>
            <w:bottom w:val="none" w:sz="0" w:space="0" w:color="auto"/>
            <w:right w:val="none" w:sz="0" w:space="0" w:color="auto"/>
          </w:divBdr>
        </w:div>
        <w:div w:id="1898466915">
          <w:marLeft w:val="0"/>
          <w:marRight w:val="0"/>
          <w:marTop w:val="0"/>
          <w:marBottom w:val="0"/>
          <w:divBdr>
            <w:top w:val="none" w:sz="0" w:space="0" w:color="auto"/>
            <w:left w:val="none" w:sz="0" w:space="0" w:color="auto"/>
            <w:bottom w:val="none" w:sz="0" w:space="0" w:color="auto"/>
            <w:right w:val="none" w:sz="0" w:space="0" w:color="auto"/>
          </w:divBdr>
        </w:div>
        <w:div w:id="2031836436">
          <w:marLeft w:val="0"/>
          <w:marRight w:val="0"/>
          <w:marTop w:val="0"/>
          <w:marBottom w:val="0"/>
          <w:divBdr>
            <w:top w:val="none" w:sz="0" w:space="0" w:color="auto"/>
            <w:left w:val="none" w:sz="0" w:space="0" w:color="auto"/>
            <w:bottom w:val="none" w:sz="0" w:space="0" w:color="auto"/>
            <w:right w:val="none" w:sz="0" w:space="0" w:color="auto"/>
          </w:divBdr>
        </w:div>
        <w:div w:id="2052224156">
          <w:marLeft w:val="0"/>
          <w:marRight w:val="0"/>
          <w:marTop w:val="0"/>
          <w:marBottom w:val="0"/>
          <w:divBdr>
            <w:top w:val="none" w:sz="0" w:space="0" w:color="auto"/>
            <w:left w:val="none" w:sz="0" w:space="0" w:color="auto"/>
            <w:bottom w:val="none" w:sz="0" w:space="0" w:color="auto"/>
            <w:right w:val="none" w:sz="0" w:space="0" w:color="auto"/>
          </w:divBdr>
        </w:div>
      </w:divsChild>
    </w:div>
    <w:div w:id="1700741207">
      <w:bodyDiv w:val="1"/>
      <w:marLeft w:val="0"/>
      <w:marRight w:val="0"/>
      <w:marTop w:val="0"/>
      <w:marBottom w:val="0"/>
      <w:divBdr>
        <w:top w:val="none" w:sz="0" w:space="0" w:color="auto"/>
        <w:left w:val="none" w:sz="0" w:space="0" w:color="auto"/>
        <w:bottom w:val="none" w:sz="0" w:space="0" w:color="auto"/>
        <w:right w:val="none" w:sz="0" w:space="0" w:color="auto"/>
      </w:divBdr>
      <w:divsChild>
        <w:div w:id="5517894">
          <w:marLeft w:val="0"/>
          <w:marRight w:val="0"/>
          <w:marTop w:val="0"/>
          <w:marBottom w:val="0"/>
          <w:divBdr>
            <w:top w:val="none" w:sz="0" w:space="0" w:color="auto"/>
            <w:left w:val="none" w:sz="0" w:space="0" w:color="auto"/>
            <w:bottom w:val="none" w:sz="0" w:space="0" w:color="auto"/>
            <w:right w:val="none" w:sz="0" w:space="0" w:color="auto"/>
          </w:divBdr>
        </w:div>
        <w:div w:id="14231028">
          <w:marLeft w:val="0"/>
          <w:marRight w:val="0"/>
          <w:marTop w:val="0"/>
          <w:marBottom w:val="0"/>
          <w:divBdr>
            <w:top w:val="none" w:sz="0" w:space="0" w:color="auto"/>
            <w:left w:val="none" w:sz="0" w:space="0" w:color="auto"/>
            <w:bottom w:val="none" w:sz="0" w:space="0" w:color="auto"/>
            <w:right w:val="none" w:sz="0" w:space="0" w:color="auto"/>
          </w:divBdr>
        </w:div>
        <w:div w:id="20519733">
          <w:marLeft w:val="0"/>
          <w:marRight w:val="0"/>
          <w:marTop w:val="0"/>
          <w:marBottom w:val="0"/>
          <w:divBdr>
            <w:top w:val="none" w:sz="0" w:space="0" w:color="auto"/>
            <w:left w:val="none" w:sz="0" w:space="0" w:color="auto"/>
            <w:bottom w:val="none" w:sz="0" w:space="0" w:color="auto"/>
            <w:right w:val="none" w:sz="0" w:space="0" w:color="auto"/>
          </w:divBdr>
        </w:div>
        <w:div w:id="360517392">
          <w:marLeft w:val="0"/>
          <w:marRight w:val="0"/>
          <w:marTop w:val="0"/>
          <w:marBottom w:val="0"/>
          <w:divBdr>
            <w:top w:val="none" w:sz="0" w:space="0" w:color="auto"/>
            <w:left w:val="none" w:sz="0" w:space="0" w:color="auto"/>
            <w:bottom w:val="none" w:sz="0" w:space="0" w:color="auto"/>
            <w:right w:val="none" w:sz="0" w:space="0" w:color="auto"/>
          </w:divBdr>
        </w:div>
        <w:div w:id="466237710">
          <w:marLeft w:val="0"/>
          <w:marRight w:val="0"/>
          <w:marTop w:val="0"/>
          <w:marBottom w:val="0"/>
          <w:divBdr>
            <w:top w:val="none" w:sz="0" w:space="0" w:color="auto"/>
            <w:left w:val="none" w:sz="0" w:space="0" w:color="auto"/>
            <w:bottom w:val="none" w:sz="0" w:space="0" w:color="auto"/>
            <w:right w:val="none" w:sz="0" w:space="0" w:color="auto"/>
          </w:divBdr>
          <w:divsChild>
            <w:div w:id="627778470">
              <w:marLeft w:val="-75"/>
              <w:marRight w:val="0"/>
              <w:marTop w:val="30"/>
              <w:marBottom w:val="30"/>
              <w:divBdr>
                <w:top w:val="none" w:sz="0" w:space="0" w:color="auto"/>
                <w:left w:val="none" w:sz="0" w:space="0" w:color="auto"/>
                <w:bottom w:val="none" w:sz="0" w:space="0" w:color="auto"/>
                <w:right w:val="none" w:sz="0" w:space="0" w:color="auto"/>
              </w:divBdr>
              <w:divsChild>
                <w:div w:id="766386684">
                  <w:marLeft w:val="0"/>
                  <w:marRight w:val="0"/>
                  <w:marTop w:val="0"/>
                  <w:marBottom w:val="0"/>
                  <w:divBdr>
                    <w:top w:val="none" w:sz="0" w:space="0" w:color="auto"/>
                    <w:left w:val="none" w:sz="0" w:space="0" w:color="auto"/>
                    <w:bottom w:val="none" w:sz="0" w:space="0" w:color="auto"/>
                    <w:right w:val="none" w:sz="0" w:space="0" w:color="auto"/>
                  </w:divBdr>
                  <w:divsChild>
                    <w:div w:id="1301034786">
                      <w:marLeft w:val="0"/>
                      <w:marRight w:val="0"/>
                      <w:marTop w:val="0"/>
                      <w:marBottom w:val="0"/>
                      <w:divBdr>
                        <w:top w:val="none" w:sz="0" w:space="0" w:color="auto"/>
                        <w:left w:val="none" w:sz="0" w:space="0" w:color="auto"/>
                        <w:bottom w:val="none" w:sz="0" w:space="0" w:color="auto"/>
                        <w:right w:val="none" w:sz="0" w:space="0" w:color="auto"/>
                      </w:divBdr>
                    </w:div>
                  </w:divsChild>
                </w:div>
                <w:div w:id="1139611599">
                  <w:marLeft w:val="0"/>
                  <w:marRight w:val="0"/>
                  <w:marTop w:val="0"/>
                  <w:marBottom w:val="0"/>
                  <w:divBdr>
                    <w:top w:val="none" w:sz="0" w:space="0" w:color="auto"/>
                    <w:left w:val="none" w:sz="0" w:space="0" w:color="auto"/>
                    <w:bottom w:val="none" w:sz="0" w:space="0" w:color="auto"/>
                    <w:right w:val="none" w:sz="0" w:space="0" w:color="auto"/>
                  </w:divBdr>
                  <w:divsChild>
                    <w:div w:id="333991333">
                      <w:marLeft w:val="0"/>
                      <w:marRight w:val="0"/>
                      <w:marTop w:val="0"/>
                      <w:marBottom w:val="0"/>
                      <w:divBdr>
                        <w:top w:val="none" w:sz="0" w:space="0" w:color="auto"/>
                        <w:left w:val="none" w:sz="0" w:space="0" w:color="auto"/>
                        <w:bottom w:val="none" w:sz="0" w:space="0" w:color="auto"/>
                        <w:right w:val="none" w:sz="0" w:space="0" w:color="auto"/>
                      </w:divBdr>
                    </w:div>
                    <w:div w:id="1195464751">
                      <w:marLeft w:val="0"/>
                      <w:marRight w:val="0"/>
                      <w:marTop w:val="0"/>
                      <w:marBottom w:val="0"/>
                      <w:divBdr>
                        <w:top w:val="none" w:sz="0" w:space="0" w:color="auto"/>
                        <w:left w:val="none" w:sz="0" w:space="0" w:color="auto"/>
                        <w:bottom w:val="none" w:sz="0" w:space="0" w:color="auto"/>
                        <w:right w:val="none" w:sz="0" w:space="0" w:color="auto"/>
                      </w:divBdr>
                    </w:div>
                  </w:divsChild>
                </w:div>
                <w:div w:id="1315717681">
                  <w:marLeft w:val="0"/>
                  <w:marRight w:val="0"/>
                  <w:marTop w:val="0"/>
                  <w:marBottom w:val="0"/>
                  <w:divBdr>
                    <w:top w:val="none" w:sz="0" w:space="0" w:color="auto"/>
                    <w:left w:val="none" w:sz="0" w:space="0" w:color="auto"/>
                    <w:bottom w:val="none" w:sz="0" w:space="0" w:color="auto"/>
                    <w:right w:val="none" w:sz="0" w:space="0" w:color="auto"/>
                  </w:divBdr>
                  <w:divsChild>
                    <w:div w:id="618993214">
                      <w:marLeft w:val="0"/>
                      <w:marRight w:val="0"/>
                      <w:marTop w:val="0"/>
                      <w:marBottom w:val="0"/>
                      <w:divBdr>
                        <w:top w:val="none" w:sz="0" w:space="0" w:color="auto"/>
                        <w:left w:val="none" w:sz="0" w:space="0" w:color="auto"/>
                        <w:bottom w:val="none" w:sz="0" w:space="0" w:color="auto"/>
                        <w:right w:val="none" w:sz="0" w:space="0" w:color="auto"/>
                      </w:divBdr>
                    </w:div>
                    <w:div w:id="2060278157">
                      <w:marLeft w:val="0"/>
                      <w:marRight w:val="0"/>
                      <w:marTop w:val="0"/>
                      <w:marBottom w:val="0"/>
                      <w:divBdr>
                        <w:top w:val="none" w:sz="0" w:space="0" w:color="auto"/>
                        <w:left w:val="none" w:sz="0" w:space="0" w:color="auto"/>
                        <w:bottom w:val="none" w:sz="0" w:space="0" w:color="auto"/>
                        <w:right w:val="none" w:sz="0" w:space="0" w:color="auto"/>
                      </w:divBdr>
                    </w:div>
                  </w:divsChild>
                </w:div>
                <w:div w:id="1554611349">
                  <w:marLeft w:val="0"/>
                  <w:marRight w:val="0"/>
                  <w:marTop w:val="0"/>
                  <w:marBottom w:val="0"/>
                  <w:divBdr>
                    <w:top w:val="none" w:sz="0" w:space="0" w:color="auto"/>
                    <w:left w:val="none" w:sz="0" w:space="0" w:color="auto"/>
                    <w:bottom w:val="none" w:sz="0" w:space="0" w:color="auto"/>
                    <w:right w:val="none" w:sz="0" w:space="0" w:color="auto"/>
                  </w:divBdr>
                  <w:divsChild>
                    <w:div w:id="1570075411">
                      <w:marLeft w:val="0"/>
                      <w:marRight w:val="0"/>
                      <w:marTop w:val="0"/>
                      <w:marBottom w:val="0"/>
                      <w:divBdr>
                        <w:top w:val="none" w:sz="0" w:space="0" w:color="auto"/>
                        <w:left w:val="none" w:sz="0" w:space="0" w:color="auto"/>
                        <w:bottom w:val="none" w:sz="0" w:space="0" w:color="auto"/>
                        <w:right w:val="none" w:sz="0" w:space="0" w:color="auto"/>
                      </w:divBdr>
                    </w:div>
                  </w:divsChild>
                </w:div>
                <w:div w:id="1697611154">
                  <w:marLeft w:val="0"/>
                  <w:marRight w:val="0"/>
                  <w:marTop w:val="0"/>
                  <w:marBottom w:val="0"/>
                  <w:divBdr>
                    <w:top w:val="none" w:sz="0" w:space="0" w:color="auto"/>
                    <w:left w:val="none" w:sz="0" w:space="0" w:color="auto"/>
                    <w:bottom w:val="none" w:sz="0" w:space="0" w:color="auto"/>
                    <w:right w:val="none" w:sz="0" w:space="0" w:color="auto"/>
                  </w:divBdr>
                  <w:divsChild>
                    <w:div w:id="1623343461">
                      <w:marLeft w:val="0"/>
                      <w:marRight w:val="0"/>
                      <w:marTop w:val="0"/>
                      <w:marBottom w:val="0"/>
                      <w:divBdr>
                        <w:top w:val="none" w:sz="0" w:space="0" w:color="auto"/>
                        <w:left w:val="none" w:sz="0" w:space="0" w:color="auto"/>
                        <w:bottom w:val="none" w:sz="0" w:space="0" w:color="auto"/>
                        <w:right w:val="none" w:sz="0" w:space="0" w:color="auto"/>
                      </w:divBdr>
                    </w:div>
                  </w:divsChild>
                </w:div>
                <w:div w:id="1878085502">
                  <w:marLeft w:val="0"/>
                  <w:marRight w:val="0"/>
                  <w:marTop w:val="0"/>
                  <w:marBottom w:val="0"/>
                  <w:divBdr>
                    <w:top w:val="none" w:sz="0" w:space="0" w:color="auto"/>
                    <w:left w:val="none" w:sz="0" w:space="0" w:color="auto"/>
                    <w:bottom w:val="none" w:sz="0" w:space="0" w:color="auto"/>
                    <w:right w:val="none" w:sz="0" w:space="0" w:color="auto"/>
                  </w:divBdr>
                  <w:divsChild>
                    <w:div w:id="56638488">
                      <w:marLeft w:val="0"/>
                      <w:marRight w:val="0"/>
                      <w:marTop w:val="0"/>
                      <w:marBottom w:val="0"/>
                      <w:divBdr>
                        <w:top w:val="none" w:sz="0" w:space="0" w:color="auto"/>
                        <w:left w:val="none" w:sz="0" w:space="0" w:color="auto"/>
                        <w:bottom w:val="none" w:sz="0" w:space="0" w:color="auto"/>
                        <w:right w:val="none" w:sz="0" w:space="0" w:color="auto"/>
                      </w:divBdr>
                    </w:div>
                  </w:divsChild>
                </w:div>
                <w:div w:id="1971788441">
                  <w:marLeft w:val="0"/>
                  <w:marRight w:val="0"/>
                  <w:marTop w:val="0"/>
                  <w:marBottom w:val="0"/>
                  <w:divBdr>
                    <w:top w:val="none" w:sz="0" w:space="0" w:color="auto"/>
                    <w:left w:val="none" w:sz="0" w:space="0" w:color="auto"/>
                    <w:bottom w:val="none" w:sz="0" w:space="0" w:color="auto"/>
                    <w:right w:val="none" w:sz="0" w:space="0" w:color="auto"/>
                  </w:divBdr>
                  <w:divsChild>
                    <w:div w:id="1723366265">
                      <w:marLeft w:val="0"/>
                      <w:marRight w:val="0"/>
                      <w:marTop w:val="0"/>
                      <w:marBottom w:val="0"/>
                      <w:divBdr>
                        <w:top w:val="none" w:sz="0" w:space="0" w:color="auto"/>
                        <w:left w:val="none" w:sz="0" w:space="0" w:color="auto"/>
                        <w:bottom w:val="none" w:sz="0" w:space="0" w:color="auto"/>
                        <w:right w:val="none" w:sz="0" w:space="0" w:color="auto"/>
                      </w:divBdr>
                    </w:div>
                  </w:divsChild>
                </w:div>
                <w:div w:id="2007049901">
                  <w:marLeft w:val="0"/>
                  <w:marRight w:val="0"/>
                  <w:marTop w:val="0"/>
                  <w:marBottom w:val="0"/>
                  <w:divBdr>
                    <w:top w:val="none" w:sz="0" w:space="0" w:color="auto"/>
                    <w:left w:val="none" w:sz="0" w:space="0" w:color="auto"/>
                    <w:bottom w:val="none" w:sz="0" w:space="0" w:color="auto"/>
                    <w:right w:val="none" w:sz="0" w:space="0" w:color="auto"/>
                  </w:divBdr>
                  <w:divsChild>
                    <w:div w:id="172664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559642">
          <w:marLeft w:val="0"/>
          <w:marRight w:val="0"/>
          <w:marTop w:val="0"/>
          <w:marBottom w:val="0"/>
          <w:divBdr>
            <w:top w:val="none" w:sz="0" w:space="0" w:color="auto"/>
            <w:left w:val="none" w:sz="0" w:space="0" w:color="auto"/>
            <w:bottom w:val="none" w:sz="0" w:space="0" w:color="auto"/>
            <w:right w:val="none" w:sz="0" w:space="0" w:color="auto"/>
          </w:divBdr>
        </w:div>
        <w:div w:id="1001350581">
          <w:marLeft w:val="0"/>
          <w:marRight w:val="0"/>
          <w:marTop w:val="0"/>
          <w:marBottom w:val="0"/>
          <w:divBdr>
            <w:top w:val="none" w:sz="0" w:space="0" w:color="auto"/>
            <w:left w:val="none" w:sz="0" w:space="0" w:color="auto"/>
            <w:bottom w:val="none" w:sz="0" w:space="0" w:color="auto"/>
            <w:right w:val="none" w:sz="0" w:space="0" w:color="auto"/>
          </w:divBdr>
        </w:div>
        <w:div w:id="1236041032">
          <w:marLeft w:val="0"/>
          <w:marRight w:val="0"/>
          <w:marTop w:val="0"/>
          <w:marBottom w:val="0"/>
          <w:divBdr>
            <w:top w:val="none" w:sz="0" w:space="0" w:color="auto"/>
            <w:left w:val="none" w:sz="0" w:space="0" w:color="auto"/>
            <w:bottom w:val="none" w:sz="0" w:space="0" w:color="auto"/>
            <w:right w:val="none" w:sz="0" w:space="0" w:color="auto"/>
          </w:divBdr>
        </w:div>
        <w:div w:id="1261068820">
          <w:marLeft w:val="0"/>
          <w:marRight w:val="0"/>
          <w:marTop w:val="0"/>
          <w:marBottom w:val="0"/>
          <w:divBdr>
            <w:top w:val="none" w:sz="0" w:space="0" w:color="auto"/>
            <w:left w:val="none" w:sz="0" w:space="0" w:color="auto"/>
            <w:bottom w:val="none" w:sz="0" w:space="0" w:color="auto"/>
            <w:right w:val="none" w:sz="0" w:space="0" w:color="auto"/>
          </w:divBdr>
        </w:div>
        <w:div w:id="1481188867">
          <w:marLeft w:val="0"/>
          <w:marRight w:val="0"/>
          <w:marTop w:val="0"/>
          <w:marBottom w:val="0"/>
          <w:divBdr>
            <w:top w:val="none" w:sz="0" w:space="0" w:color="auto"/>
            <w:left w:val="none" w:sz="0" w:space="0" w:color="auto"/>
            <w:bottom w:val="none" w:sz="0" w:space="0" w:color="auto"/>
            <w:right w:val="none" w:sz="0" w:space="0" w:color="auto"/>
          </w:divBdr>
        </w:div>
        <w:div w:id="1513493571">
          <w:marLeft w:val="0"/>
          <w:marRight w:val="0"/>
          <w:marTop w:val="0"/>
          <w:marBottom w:val="0"/>
          <w:divBdr>
            <w:top w:val="none" w:sz="0" w:space="0" w:color="auto"/>
            <w:left w:val="none" w:sz="0" w:space="0" w:color="auto"/>
            <w:bottom w:val="none" w:sz="0" w:space="0" w:color="auto"/>
            <w:right w:val="none" w:sz="0" w:space="0" w:color="auto"/>
          </w:divBdr>
        </w:div>
        <w:div w:id="1524512214">
          <w:marLeft w:val="0"/>
          <w:marRight w:val="0"/>
          <w:marTop w:val="0"/>
          <w:marBottom w:val="0"/>
          <w:divBdr>
            <w:top w:val="none" w:sz="0" w:space="0" w:color="auto"/>
            <w:left w:val="none" w:sz="0" w:space="0" w:color="auto"/>
            <w:bottom w:val="none" w:sz="0" w:space="0" w:color="auto"/>
            <w:right w:val="none" w:sz="0" w:space="0" w:color="auto"/>
          </w:divBdr>
          <w:divsChild>
            <w:div w:id="186140886">
              <w:marLeft w:val="0"/>
              <w:marRight w:val="0"/>
              <w:marTop w:val="0"/>
              <w:marBottom w:val="0"/>
              <w:divBdr>
                <w:top w:val="none" w:sz="0" w:space="0" w:color="auto"/>
                <w:left w:val="none" w:sz="0" w:space="0" w:color="auto"/>
                <w:bottom w:val="none" w:sz="0" w:space="0" w:color="auto"/>
                <w:right w:val="none" w:sz="0" w:space="0" w:color="auto"/>
              </w:divBdr>
            </w:div>
            <w:div w:id="668100824">
              <w:marLeft w:val="0"/>
              <w:marRight w:val="0"/>
              <w:marTop w:val="0"/>
              <w:marBottom w:val="0"/>
              <w:divBdr>
                <w:top w:val="none" w:sz="0" w:space="0" w:color="auto"/>
                <w:left w:val="none" w:sz="0" w:space="0" w:color="auto"/>
                <w:bottom w:val="none" w:sz="0" w:space="0" w:color="auto"/>
                <w:right w:val="none" w:sz="0" w:space="0" w:color="auto"/>
              </w:divBdr>
            </w:div>
            <w:div w:id="1271090890">
              <w:marLeft w:val="0"/>
              <w:marRight w:val="0"/>
              <w:marTop w:val="0"/>
              <w:marBottom w:val="0"/>
              <w:divBdr>
                <w:top w:val="none" w:sz="0" w:space="0" w:color="auto"/>
                <w:left w:val="none" w:sz="0" w:space="0" w:color="auto"/>
                <w:bottom w:val="none" w:sz="0" w:space="0" w:color="auto"/>
                <w:right w:val="none" w:sz="0" w:space="0" w:color="auto"/>
              </w:divBdr>
            </w:div>
            <w:div w:id="1436439987">
              <w:marLeft w:val="0"/>
              <w:marRight w:val="0"/>
              <w:marTop w:val="0"/>
              <w:marBottom w:val="0"/>
              <w:divBdr>
                <w:top w:val="none" w:sz="0" w:space="0" w:color="auto"/>
                <w:left w:val="none" w:sz="0" w:space="0" w:color="auto"/>
                <w:bottom w:val="none" w:sz="0" w:space="0" w:color="auto"/>
                <w:right w:val="none" w:sz="0" w:space="0" w:color="auto"/>
              </w:divBdr>
            </w:div>
          </w:divsChild>
        </w:div>
        <w:div w:id="1767067884">
          <w:marLeft w:val="0"/>
          <w:marRight w:val="0"/>
          <w:marTop w:val="0"/>
          <w:marBottom w:val="0"/>
          <w:divBdr>
            <w:top w:val="none" w:sz="0" w:space="0" w:color="auto"/>
            <w:left w:val="none" w:sz="0" w:space="0" w:color="auto"/>
            <w:bottom w:val="none" w:sz="0" w:space="0" w:color="auto"/>
            <w:right w:val="none" w:sz="0" w:space="0" w:color="auto"/>
          </w:divBdr>
        </w:div>
        <w:div w:id="1936476566">
          <w:marLeft w:val="0"/>
          <w:marRight w:val="0"/>
          <w:marTop w:val="0"/>
          <w:marBottom w:val="0"/>
          <w:divBdr>
            <w:top w:val="none" w:sz="0" w:space="0" w:color="auto"/>
            <w:left w:val="none" w:sz="0" w:space="0" w:color="auto"/>
            <w:bottom w:val="none" w:sz="0" w:space="0" w:color="auto"/>
            <w:right w:val="none" w:sz="0" w:space="0" w:color="auto"/>
          </w:divBdr>
        </w:div>
      </w:divsChild>
    </w:div>
    <w:div w:id="1724018645">
      <w:bodyDiv w:val="1"/>
      <w:marLeft w:val="0"/>
      <w:marRight w:val="0"/>
      <w:marTop w:val="0"/>
      <w:marBottom w:val="0"/>
      <w:divBdr>
        <w:top w:val="none" w:sz="0" w:space="0" w:color="auto"/>
        <w:left w:val="none" w:sz="0" w:space="0" w:color="auto"/>
        <w:bottom w:val="none" w:sz="0" w:space="0" w:color="auto"/>
        <w:right w:val="none" w:sz="0" w:space="0" w:color="auto"/>
      </w:divBdr>
      <w:divsChild>
        <w:div w:id="133332267">
          <w:marLeft w:val="0"/>
          <w:marRight w:val="0"/>
          <w:marTop w:val="0"/>
          <w:marBottom w:val="0"/>
          <w:divBdr>
            <w:top w:val="none" w:sz="0" w:space="0" w:color="auto"/>
            <w:left w:val="none" w:sz="0" w:space="0" w:color="auto"/>
            <w:bottom w:val="none" w:sz="0" w:space="0" w:color="auto"/>
            <w:right w:val="none" w:sz="0" w:space="0" w:color="auto"/>
          </w:divBdr>
        </w:div>
        <w:div w:id="316764700">
          <w:marLeft w:val="0"/>
          <w:marRight w:val="0"/>
          <w:marTop w:val="0"/>
          <w:marBottom w:val="0"/>
          <w:divBdr>
            <w:top w:val="none" w:sz="0" w:space="0" w:color="auto"/>
            <w:left w:val="none" w:sz="0" w:space="0" w:color="auto"/>
            <w:bottom w:val="none" w:sz="0" w:space="0" w:color="auto"/>
            <w:right w:val="none" w:sz="0" w:space="0" w:color="auto"/>
          </w:divBdr>
        </w:div>
        <w:div w:id="1094858258">
          <w:marLeft w:val="0"/>
          <w:marRight w:val="0"/>
          <w:marTop w:val="0"/>
          <w:marBottom w:val="0"/>
          <w:divBdr>
            <w:top w:val="none" w:sz="0" w:space="0" w:color="auto"/>
            <w:left w:val="none" w:sz="0" w:space="0" w:color="auto"/>
            <w:bottom w:val="none" w:sz="0" w:space="0" w:color="auto"/>
            <w:right w:val="none" w:sz="0" w:space="0" w:color="auto"/>
          </w:divBdr>
        </w:div>
        <w:div w:id="1481770724">
          <w:marLeft w:val="0"/>
          <w:marRight w:val="0"/>
          <w:marTop w:val="0"/>
          <w:marBottom w:val="0"/>
          <w:divBdr>
            <w:top w:val="none" w:sz="0" w:space="0" w:color="auto"/>
            <w:left w:val="none" w:sz="0" w:space="0" w:color="auto"/>
            <w:bottom w:val="none" w:sz="0" w:space="0" w:color="auto"/>
            <w:right w:val="none" w:sz="0" w:space="0" w:color="auto"/>
          </w:divBdr>
        </w:div>
        <w:div w:id="1559122989">
          <w:marLeft w:val="0"/>
          <w:marRight w:val="0"/>
          <w:marTop w:val="0"/>
          <w:marBottom w:val="0"/>
          <w:divBdr>
            <w:top w:val="none" w:sz="0" w:space="0" w:color="auto"/>
            <w:left w:val="none" w:sz="0" w:space="0" w:color="auto"/>
            <w:bottom w:val="none" w:sz="0" w:space="0" w:color="auto"/>
            <w:right w:val="none" w:sz="0" w:space="0" w:color="auto"/>
          </w:divBdr>
        </w:div>
        <w:div w:id="1795245063">
          <w:marLeft w:val="0"/>
          <w:marRight w:val="0"/>
          <w:marTop w:val="0"/>
          <w:marBottom w:val="0"/>
          <w:divBdr>
            <w:top w:val="none" w:sz="0" w:space="0" w:color="auto"/>
            <w:left w:val="none" w:sz="0" w:space="0" w:color="auto"/>
            <w:bottom w:val="none" w:sz="0" w:space="0" w:color="auto"/>
            <w:right w:val="none" w:sz="0" w:space="0" w:color="auto"/>
          </w:divBdr>
        </w:div>
        <w:div w:id="1896968803">
          <w:marLeft w:val="0"/>
          <w:marRight w:val="0"/>
          <w:marTop w:val="0"/>
          <w:marBottom w:val="0"/>
          <w:divBdr>
            <w:top w:val="none" w:sz="0" w:space="0" w:color="auto"/>
            <w:left w:val="none" w:sz="0" w:space="0" w:color="auto"/>
            <w:bottom w:val="none" w:sz="0" w:space="0" w:color="auto"/>
            <w:right w:val="none" w:sz="0" w:space="0" w:color="auto"/>
          </w:divBdr>
        </w:div>
      </w:divsChild>
    </w:div>
    <w:div w:id="1731150412">
      <w:bodyDiv w:val="1"/>
      <w:marLeft w:val="0"/>
      <w:marRight w:val="0"/>
      <w:marTop w:val="0"/>
      <w:marBottom w:val="0"/>
      <w:divBdr>
        <w:top w:val="none" w:sz="0" w:space="0" w:color="auto"/>
        <w:left w:val="none" w:sz="0" w:space="0" w:color="auto"/>
        <w:bottom w:val="none" w:sz="0" w:space="0" w:color="auto"/>
        <w:right w:val="none" w:sz="0" w:space="0" w:color="auto"/>
      </w:divBdr>
      <w:divsChild>
        <w:div w:id="44188035">
          <w:marLeft w:val="0"/>
          <w:marRight w:val="0"/>
          <w:marTop w:val="0"/>
          <w:marBottom w:val="0"/>
          <w:divBdr>
            <w:top w:val="none" w:sz="0" w:space="0" w:color="auto"/>
            <w:left w:val="none" w:sz="0" w:space="0" w:color="auto"/>
            <w:bottom w:val="none" w:sz="0" w:space="0" w:color="auto"/>
            <w:right w:val="none" w:sz="0" w:space="0" w:color="auto"/>
          </w:divBdr>
        </w:div>
        <w:div w:id="53239799">
          <w:marLeft w:val="0"/>
          <w:marRight w:val="0"/>
          <w:marTop w:val="0"/>
          <w:marBottom w:val="0"/>
          <w:divBdr>
            <w:top w:val="none" w:sz="0" w:space="0" w:color="auto"/>
            <w:left w:val="none" w:sz="0" w:space="0" w:color="auto"/>
            <w:bottom w:val="none" w:sz="0" w:space="0" w:color="auto"/>
            <w:right w:val="none" w:sz="0" w:space="0" w:color="auto"/>
          </w:divBdr>
        </w:div>
        <w:div w:id="1005323430">
          <w:marLeft w:val="0"/>
          <w:marRight w:val="0"/>
          <w:marTop w:val="0"/>
          <w:marBottom w:val="0"/>
          <w:divBdr>
            <w:top w:val="none" w:sz="0" w:space="0" w:color="auto"/>
            <w:left w:val="none" w:sz="0" w:space="0" w:color="auto"/>
            <w:bottom w:val="none" w:sz="0" w:space="0" w:color="auto"/>
            <w:right w:val="none" w:sz="0" w:space="0" w:color="auto"/>
          </w:divBdr>
        </w:div>
        <w:div w:id="1023437321">
          <w:marLeft w:val="0"/>
          <w:marRight w:val="0"/>
          <w:marTop w:val="0"/>
          <w:marBottom w:val="0"/>
          <w:divBdr>
            <w:top w:val="none" w:sz="0" w:space="0" w:color="auto"/>
            <w:left w:val="none" w:sz="0" w:space="0" w:color="auto"/>
            <w:bottom w:val="none" w:sz="0" w:space="0" w:color="auto"/>
            <w:right w:val="none" w:sz="0" w:space="0" w:color="auto"/>
          </w:divBdr>
        </w:div>
        <w:div w:id="1316303474">
          <w:marLeft w:val="0"/>
          <w:marRight w:val="0"/>
          <w:marTop w:val="0"/>
          <w:marBottom w:val="0"/>
          <w:divBdr>
            <w:top w:val="none" w:sz="0" w:space="0" w:color="auto"/>
            <w:left w:val="none" w:sz="0" w:space="0" w:color="auto"/>
            <w:bottom w:val="none" w:sz="0" w:space="0" w:color="auto"/>
            <w:right w:val="none" w:sz="0" w:space="0" w:color="auto"/>
          </w:divBdr>
        </w:div>
        <w:div w:id="1576892846">
          <w:marLeft w:val="0"/>
          <w:marRight w:val="0"/>
          <w:marTop w:val="0"/>
          <w:marBottom w:val="0"/>
          <w:divBdr>
            <w:top w:val="none" w:sz="0" w:space="0" w:color="auto"/>
            <w:left w:val="none" w:sz="0" w:space="0" w:color="auto"/>
            <w:bottom w:val="none" w:sz="0" w:space="0" w:color="auto"/>
            <w:right w:val="none" w:sz="0" w:space="0" w:color="auto"/>
          </w:divBdr>
        </w:div>
      </w:divsChild>
    </w:div>
    <w:div w:id="1741707414">
      <w:bodyDiv w:val="1"/>
      <w:marLeft w:val="0"/>
      <w:marRight w:val="0"/>
      <w:marTop w:val="0"/>
      <w:marBottom w:val="0"/>
      <w:divBdr>
        <w:top w:val="none" w:sz="0" w:space="0" w:color="auto"/>
        <w:left w:val="none" w:sz="0" w:space="0" w:color="auto"/>
        <w:bottom w:val="none" w:sz="0" w:space="0" w:color="auto"/>
        <w:right w:val="none" w:sz="0" w:space="0" w:color="auto"/>
      </w:divBdr>
      <w:divsChild>
        <w:div w:id="323708199">
          <w:marLeft w:val="0"/>
          <w:marRight w:val="0"/>
          <w:marTop w:val="0"/>
          <w:marBottom w:val="0"/>
          <w:divBdr>
            <w:top w:val="none" w:sz="0" w:space="0" w:color="auto"/>
            <w:left w:val="none" w:sz="0" w:space="0" w:color="auto"/>
            <w:bottom w:val="none" w:sz="0" w:space="0" w:color="auto"/>
            <w:right w:val="none" w:sz="0" w:space="0" w:color="auto"/>
          </w:divBdr>
        </w:div>
        <w:div w:id="408621649">
          <w:marLeft w:val="0"/>
          <w:marRight w:val="0"/>
          <w:marTop w:val="0"/>
          <w:marBottom w:val="0"/>
          <w:divBdr>
            <w:top w:val="none" w:sz="0" w:space="0" w:color="auto"/>
            <w:left w:val="none" w:sz="0" w:space="0" w:color="auto"/>
            <w:bottom w:val="none" w:sz="0" w:space="0" w:color="auto"/>
            <w:right w:val="none" w:sz="0" w:space="0" w:color="auto"/>
          </w:divBdr>
        </w:div>
        <w:div w:id="1061173213">
          <w:marLeft w:val="0"/>
          <w:marRight w:val="0"/>
          <w:marTop w:val="0"/>
          <w:marBottom w:val="0"/>
          <w:divBdr>
            <w:top w:val="none" w:sz="0" w:space="0" w:color="auto"/>
            <w:left w:val="none" w:sz="0" w:space="0" w:color="auto"/>
            <w:bottom w:val="none" w:sz="0" w:space="0" w:color="auto"/>
            <w:right w:val="none" w:sz="0" w:space="0" w:color="auto"/>
          </w:divBdr>
        </w:div>
        <w:div w:id="1148476810">
          <w:marLeft w:val="0"/>
          <w:marRight w:val="0"/>
          <w:marTop w:val="0"/>
          <w:marBottom w:val="0"/>
          <w:divBdr>
            <w:top w:val="none" w:sz="0" w:space="0" w:color="auto"/>
            <w:left w:val="none" w:sz="0" w:space="0" w:color="auto"/>
            <w:bottom w:val="none" w:sz="0" w:space="0" w:color="auto"/>
            <w:right w:val="none" w:sz="0" w:space="0" w:color="auto"/>
          </w:divBdr>
        </w:div>
        <w:div w:id="1229540253">
          <w:marLeft w:val="0"/>
          <w:marRight w:val="0"/>
          <w:marTop w:val="0"/>
          <w:marBottom w:val="0"/>
          <w:divBdr>
            <w:top w:val="none" w:sz="0" w:space="0" w:color="auto"/>
            <w:left w:val="none" w:sz="0" w:space="0" w:color="auto"/>
            <w:bottom w:val="none" w:sz="0" w:space="0" w:color="auto"/>
            <w:right w:val="none" w:sz="0" w:space="0" w:color="auto"/>
          </w:divBdr>
        </w:div>
      </w:divsChild>
    </w:div>
    <w:div w:id="1744336297">
      <w:bodyDiv w:val="1"/>
      <w:marLeft w:val="0"/>
      <w:marRight w:val="0"/>
      <w:marTop w:val="0"/>
      <w:marBottom w:val="0"/>
      <w:divBdr>
        <w:top w:val="none" w:sz="0" w:space="0" w:color="auto"/>
        <w:left w:val="none" w:sz="0" w:space="0" w:color="auto"/>
        <w:bottom w:val="none" w:sz="0" w:space="0" w:color="auto"/>
        <w:right w:val="none" w:sz="0" w:space="0" w:color="auto"/>
      </w:divBdr>
      <w:divsChild>
        <w:div w:id="45035179">
          <w:marLeft w:val="0"/>
          <w:marRight w:val="0"/>
          <w:marTop w:val="0"/>
          <w:marBottom w:val="0"/>
          <w:divBdr>
            <w:top w:val="none" w:sz="0" w:space="0" w:color="auto"/>
            <w:left w:val="none" w:sz="0" w:space="0" w:color="auto"/>
            <w:bottom w:val="none" w:sz="0" w:space="0" w:color="auto"/>
            <w:right w:val="none" w:sz="0" w:space="0" w:color="auto"/>
          </w:divBdr>
        </w:div>
        <w:div w:id="872884590">
          <w:marLeft w:val="0"/>
          <w:marRight w:val="0"/>
          <w:marTop w:val="0"/>
          <w:marBottom w:val="0"/>
          <w:divBdr>
            <w:top w:val="none" w:sz="0" w:space="0" w:color="auto"/>
            <w:left w:val="none" w:sz="0" w:space="0" w:color="auto"/>
            <w:bottom w:val="none" w:sz="0" w:space="0" w:color="auto"/>
            <w:right w:val="none" w:sz="0" w:space="0" w:color="auto"/>
          </w:divBdr>
        </w:div>
        <w:div w:id="939875312">
          <w:marLeft w:val="0"/>
          <w:marRight w:val="0"/>
          <w:marTop w:val="0"/>
          <w:marBottom w:val="0"/>
          <w:divBdr>
            <w:top w:val="none" w:sz="0" w:space="0" w:color="auto"/>
            <w:left w:val="none" w:sz="0" w:space="0" w:color="auto"/>
            <w:bottom w:val="none" w:sz="0" w:space="0" w:color="auto"/>
            <w:right w:val="none" w:sz="0" w:space="0" w:color="auto"/>
          </w:divBdr>
        </w:div>
        <w:div w:id="943801353">
          <w:marLeft w:val="0"/>
          <w:marRight w:val="0"/>
          <w:marTop w:val="0"/>
          <w:marBottom w:val="0"/>
          <w:divBdr>
            <w:top w:val="none" w:sz="0" w:space="0" w:color="auto"/>
            <w:left w:val="none" w:sz="0" w:space="0" w:color="auto"/>
            <w:bottom w:val="none" w:sz="0" w:space="0" w:color="auto"/>
            <w:right w:val="none" w:sz="0" w:space="0" w:color="auto"/>
          </w:divBdr>
        </w:div>
        <w:div w:id="1172834650">
          <w:marLeft w:val="0"/>
          <w:marRight w:val="0"/>
          <w:marTop w:val="0"/>
          <w:marBottom w:val="0"/>
          <w:divBdr>
            <w:top w:val="none" w:sz="0" w:space="0" w:color="auto"/>
            <w:left w:val="none" w:sz="0" w:space="0" w:color="auto"/>
            <w:bottom w:val="none" w:sz="0" w:space="0" w:color="auto"/>
            <w:right w:val="none" w:sz="0" w:space="0" w:color="auto"/>
          </w:divBdr>
        </w:div>
        <w:div w:id="1203514933">
          <w:marLeft w:val="0"/>
          <w:marRight w:val="0"/>
          <w:marTop w:val="0"/>
          <w:marBottom w:val="0"/>
          <w:divBdr>
            <w:top w:val="none" w:sz="0" w:space="0" w:color="auto"/>
            <w:left w:val="none" w:sz="0" w:space="0" w:color="auto"/>
            <w:bottom w:val="none" w:sz="0" w:space="0" w:color="auto"/>
            <w:right w:val="none" w:sz="0" w:space="0" w:color="auto"/>
          </w:divBdr>
        </w:div>
        <w:div w:id="1391609804">
          <w:marLeft w:val="0"/>
          <w:marRight w:val="0"/>
          <w:marTop w:val="0"/>
          <w:marBottom w:val="0"/>
          <w:divBdr>
            <w:top w:val="none" w:sz="0" w:space="0" w:color="auto"/>
            <w:left w:val="none" w:sz="0" w:space="0" w:color="auto"/>
            <w:bottom w:val="none" w:sz="0" w:space="0" w:color="auto"/>
            <w:right w:val="none" w:sz="0" w:space="0" w:color="auto"/>
          </w:divBdr>
        </w:div>
        <w:div w:id="1581064931">
          <w:marLeft w:val="0"/>
          <w:marRight w:val="0"/>
          <w:marTop w:val="0"/>
          <w:marBottom w:val="0"/>
          <w:divBdr>
            <w:top w:val="none" w:sz="0" w:space="0" w:color="auto"/>
            <w:left w:val="none" w:sz="0" w:space="0" w:color="auto"/>
            <w:bottom w:val="none" w:sz="0" w:space="0" w:color="auto"/>
            <w:right w:val="none" w:sz="0" w:space="0" w:color="auto"/>
          </w:divBdr>
        </w:div>
        <w:div w:id="1747875548">
          <w:marLeft w:val="0"/>
          <w:marRight w:val="0"/>
          <w:marTop w:val="0"/>
          <w:marBottom w:val="0"/>
          <w:divBdr>
            <w:top w:val="none" w:sz="0" w:space="0" w:color="auto"/>
            <w:left w:val="none" w:sz="0" w:space="0" w:color="auto"/>
            <w:bottom w:val="none" w:sz="0" w:space="0" w:color="auto"/>
            <w:right w:val="none" w:sz="0" w:space="0" w:color="auto"/>
          </w:divBdr>
        </w:div>
        <w:div w:id="2095009842">
          <w:marLeft w:val="0"/>
          <w:marRight w:val="0"/>
          <w:marTop w:val="0"/>
          <w:marBottom w:val="0"/>
          <w:divBdr>
            <w:top w:val="none" w:sz="0" w:space="0" w:color="auto"/>
            <w:left w:val="none" w:sz="0" w:space="0" w:color="auto"/>
            <w:bottom w:val="none" w:sz="0" w:space="0" w:color="auto"/>
            <w:right w:val="none" w:sz="0" w:space="0" w:color="auto"/>
          </w:divBdr>
        </w:div>
        <w:div w:id="2134784333">
          <w:marLeft w:val="0"/>
          <w:marRight w:val="0"/>
          <w:marTop w:val="0"/>
          <w:marBottom w:val="0"/>
          <w:divBdr>
            <w:top w:val="none" w:sz="0" w:space="0" w:color="auto"/>
            <w:left w:val="none" w:sz="0" w:space="0" w:color="auto"/>
            <w:bottom w:val="none" w:sz="0" w:space="0" w:color="auto"/>
            <w:right w:val="none" w:sz="0" w:space="0" w:color="auto"/>
          </w:divBdr>
        </w:div>
      </w:divsChild>
    </w:div>
    <w:div w:id="1745033900">
      <w:bodyDiv w:val="1"/>
      <w:marLeft w:val="0"/>
      <w:marRight w:val="0"/>
      <w:marTop w:val="0"/>
      <w:marBottom w:val="0"/>
      <w:divBdr>
        <w:top w:val="none" w:sz="0" w:space="0" w:color="auto"/>
        <w:left w:val="none" w:sz="0" w:space="0" w:color="auto"/>
        <w:bottom w:val="none" w:sz="0" w:space="0" w:color="auto"/>
        <w:right w:val="none" w:sz="0" w:space="0" w:color="auto"/>
      </w:divBdr>
      <w:divsChild>
        <w:div w:id="533350283">
          <w:marLeft w:val="0"/>
          <w:marRight w:val="0"/>
          <w:marTop w:val="0"/>
          <w:marBottom w:val="0"/>
          <w:divBdr>
            <w:top w:val="none" w:sz="0" w:space="0" w:color="auto"/>
            <w:left w:val="none" w:sz="0" w:space="0" w:color="auto"/>
            <w:bottom w:val="none" w:sz="0" w:space="0" w:color="auto"/>
            <w:right w:val="none" w:sz="0" w:space="0" w:color="auto"/>
          </w:divBdr>
        </w:div>
        <w:div w:id="946739429">
          <w:marLeft w:val="0"/>
          <w:marRight w:val="0"/>
          <w:marTop w:val="0"/>
          <w:marBottom w:val="0"/>
          <w:divBdr>
            <w:top w:val="none" w:sz="0" w:space="0" w:color="auto"/>
            <w:left w:val="none" w:sz="0" w:space="0" w:color="auto"/>
            <w:bottom w:val="none" w:sz="0" w:space="0" w:color="auto"/>
            <w:right w:val="none" w:sz="0" w:space="0" w:color="auto"/>
          </w:divBdr>
        </w:div>
        <w:div w:id="1234968864">
          <w:marLeft w:val="0"/>
          <w:marRight w:val="0"/>
          <w:marTop w:val="0"/>
          <w:marBottom w:val="0"/>
          <w:divBdr>
            <w:top w:val="none" w:sz="0" w:space="0" w:color="auto"/>
            <w:left w:val="none" w:sz="0" w:space="0" w:color="auto"/>
            <w:bottom w:val="none" w:sz="0" w:space="0" w:color="auto"/>
            <w:right w:val="none" w:sz="0" w:space="0" w:color="auto"/>
          </w:divBdr>
        </w:div>
        <w:div w:id="1302685449">
          <w:marLeft w:val="0"/>
          <w:marRight w:val="0"/>
          <w:marTop w:val="0"/>
          <w:marBottom w:val="0"/>
          <w:divBdr>
            <w:top w:val="none" w:sz="0" w:space="0" w:color="auto"/>
            <w:left w:val="none" w:sz="0" w:space="0" w:color="auto"/>
            <w:bottom w:val="none" w:sz="0" w:space="0" w:color="auto"/>
            <w:right w:val="none" w:sz="0" w:space="0" w:color="auto"/>
          </w:divBdr>
        </w:div>
        <w:div w:id="1635210112">
          <w:marLeft w:val="0"/>
          <w:marRight w:val="0"/>
          <w:marTop w:val="0"/>
          <w:marBottom w:val="0"/>
          <w:divBdr>
            <w:top w:val="none" w:sz="0" w:space="0" w:color="auto"/>
            <w:left w:val="none" w:sz="0" w:space="0" w:color="auto"/>
            <w:bottom w:val="none" w:sz="0" w:space="0" w:color="auto"/>
            <w:right w:val="none" w:sz="0" w:space="0" w:color="auto"/>
          </w:divBdr>
        </w:div>
        <w:div w:id="1742754380">
          <w:marLeft w:val="0"/>
          <w:marRight w:val="0"/>
          <w:marTop w:val="0"/>
          <w:marBottom w:val="0"/>
          <w:divBdr>
            <w:top w:val="none" w:sz="0" w:space="0" w:color="auto"/>
            <w:left w:val="none" w:sz="0" w:space="0" w:color="auto"/>
            <w:bottom w:val="none" w:sz="0" w:space="0" w:color="auto"/>
            <w:right w:val="none" w:sz="0" w:space="0" w:color="auto"/>
          </w:divBdr>
        </w:div>
        <w:div w:id="2062483855">
          <w:marLeft w:val="0"/>
          <w:marRight w:val="0"/>
          <w:marTop w:val="0"/>
          <w:marBottom w:val="0"/>
          <w:divBdr>
            <w:top w:val="none" w:sz="0" w:space="0" w:color="auto"/>
            <w:left w:val="none" w:sz="0" w:space="0" w:color="auto"/>
            <w:bottom w:val="none" w:sz="0" w:space="0" w:color="auto"/>
            <w:right w:val="none" w:sz="0" w:space="0" w:color="auto"/>
          </w:divBdr>
        </w:div>
      </w:divsChild>
    </w:div>
    <w:div w:id="1766270838">
      <w:bodyDiv w:val="1"/>
      <w:marLeft w:val="0"/>
      <w:marRight w:val="0"/>
      <w:marTop w:val="0"/>
      <w:marBottom w:val="0"/>
      <w:divBdr>
        <w:top w:val="none" w:sz="0" w:space="0" w:color="auto"/>
        <w:left w:val="none" w:sz="0" w:space="0" w:color="auto"/>
        <w:bottom w:val="none" w:sz="0" w:space="0" w:color="auto"/>
        <w:right w:val="none" w:sz="0" w:space="0" w:color="auto"/>
      </w:divBdr>
      <w:divsChild>
        <w:div w:id="63138973">
          <w:marLeft w:val="0"/>
          <w:marRight w:val="0"/>
          <w:marTop w:val="0"/>
          <w:marBottom w:val="0"/>
          <w:divBdr>
            <w:top w:val="none" w:sz="0" w:space="0" w:color="auto"/>
            <w:left w:val="none" w:sz="0" w:space="0" w:color="auto"/>
            <w:bottom w:val="none" w:sz="0" w:space="0" w:color="auto"/>
            <w:right w:val="none" w:sz="0" w:space="0" w:color="auto"/>
          </w:divBdr>
        </w:div>
        <w:div w:id="433939026">
          <w:marLeft w:val="0"/>
          <w:marRight w:val="0"/>
          <w:marTop w:val="0"/>
          <w:marBottom w:val="0"/>
          <w:divBdr>
            <w:top w:val="none" w:sz="0" w:space="0" w:color="auto"/>
            <w:left w:val="none" w:sz="0" w:space="0" w:color="auto"/>
            <w:bottom w:val="none" w:sz="0" w:space="0" w:color="auto"/>
            <w:right w:val="none" w:sz="0" w:space="0" w:color="auto"/>
          </w:divBdr>
        </w:div>
        <w:div w:id="475533737">
          <w:marLeft w:val="0"/>
          <w:marRight w:val="0"/>
          <w:marTop w:val="0"/>
          <w:marBottom w:val="0"/>
          <w:divBdr>
            <w:top w:val="none" w:sz="0" w:space="0" w:color="auto"/>
            <w:left w:val="none" w:sz="0" w:space="0" w:color="auto"/>
            <w:bottom w:val="none" w:sz="0" w:space="0" w:color="auto"/>
            <w:right w:val="none" w:sz="0" w:space="0" w:color="auto"/>
          </w:divBdr>
        </w:div>
        <w:div w:id="1095588900">
          <w:marLeft w:val="0"/>
          <w:marRight w:val="0"/>
          <w:marTop w:val="0"/>
          <w:marBottom w:val="0"/>
          <w:divBdr>
            <w:top w:val="none" w:sz="0" w:space="0" w:color="auto"/>
            <w:left w:val="none" w:sz="0" w:space="0" w:color="auto"/>
            <w:bottom w:val="none" w:sz="0" w:space="0" w:color="auto"/>
            <w:right w:val="none" w:sz="0" w:space="0" w:color="auto"/>
          </w:divBdr>
        </w:div>
        <w:div w:id="1336028812">
          <w:marLeft w:val="0"/>
          <w:marRight w:val="0"/>
          <w:marTop w:val="0"/>
          <w:marBottom w:val="0"/>
          <w:divBdr>
            <w:top w:val="none" w:sz="0" w:space="0" w:color="auto"/>
            <w:left w:val="none" w:sz="0" w:space="0" w:color="auto"/>
            <w:bottom w:val="none" w:sz="0" w:space="0" w:color="auto"/>
            <w:right w:val="none" w:sz="0" w:space="0" w:color="auto"/>
          </w:divBdr>
        </w:div>
        <w:div w:id="1828589253">
          <w:marLeft w:val="0"/>
          <w:marRight w:val="0"/>
          <w:marTop w:val="0"/>
          <w:marBottom w:val="0"/>
          <w:divBdr>
            <w:top w:val="none" w:sz="0" w:space="0" w:color="auto"/>
            <w:left w:val="none" w:sz="0" w:space="0" w:color="auto"/>
            <w:bottom w:val="none" w:sz="0" w:space="0" w:color="auto"/>
            <w:right w:val="none" w:sz="0" w:space="0" w:color="auto"/>
          </w:divBdr>
        </w:div>
        <w:div w:id="2122721275">
          <w:marLeft w:val="0"/>
          <w:marRight w:val="0"/>
          <w:marTop w:val="0"/>
          <w:marBottom w:val="0"/>
          <w:divBdr>
            <w:top w:val="none" w:sz="0" w:space="0" w:color="auto"/>
            <w:left w:val="none" w:sz="0" w:space="0" w:color="auto"/>
            <w:bottom w:val="none" w:sz="0" w:space="0" w:color="auto"/>
            <w:right w:val="none" w:sz="0" w:space="0" w:color="auto"/>
          </w:divBdr>
        </w:div>
      </w:divsChild>
    </w:div>
    <w:div w:id="1782450485">
      <w:bodyDiv w:val="1"/>
      <w:marLeft w:val="0"/>
      <w:marRight w:val="0"/>
      <w:marTop w:val="0"/>
      <w:marBottom w:val="0"/>
      <w:divBdr>
        <w:top w:val="none" w:sz="0" w:space="0" w:color="auto"/>
        <w:left w:val="none" w:sz="0" w:space="0" w:color="auto"/>
        <w:bottom w:val="none" w:sz="0" w:space="0" w:color="auto"/>
        <w:right w:val="none" w:sz="0" w:space="0" w:color="auto"/>
      </w:divBdr>
      <w:divsChild>
        <w:div w:id="23139318">
          <w:marLeft w:val="0"/>
          <w:marRight w:val="0"/>
          <w:marTop w:val="0"/>
          <w:marBottom w:val="0"/>
          <w:divBdr>
            <w:top w:val="none" w:sz="0" w:space="0" w:color="auto"/>
            <w:left w:val="none" w:sz="0" w:space="0" w:color="auto"/>
            <w:bottom w:val="none" w:sz="0" w:space="0" w:color="auto"/>
            <w:right w:val="none" w:sz="0" w:space="0" w:color="auto"/>
          </w:divBdr>
        </w:div>
        <w:div w:id="312949436">
          <w:marLeft w:val="0"/>
          <w:marRight w:val="0"/>
          <w:marTop w:val="0"/>
          <w:marBottom w:val="0"/>
          <w:divBdr>
            <w:top w:val="none" w:sz="0" w:space="0" w:color="auto"/>
            <w:left w:val="none" w:sz="0" w:space="0" w:color="auto"/>
            <w:bottom w:val="none" w:sz="0" w:space="0" w:color="auto"/>
            <w:right w:val="none" w:sz="0" w:space="0" w:color="auto"/>
          </w:divBdr>
          <w:divsChild>
            <w:div w:id="314066987">
              <w:marLeft w:val="0"/>
              <w:marRight w:val="0"/>
              <w:marTop w:val="0"/>
              <w:marBottom w:val="0"/>
              <w:divBdr>
                <w:top w:val="none" w:sz="0" w:space="0" w:color="auto"/>
                <w:left w:val="none" w:sz="0" w:space="0" w:color="auto"/>
                <w:bottom w:val="none" w:sz="0" w:space="0" w:color="auto"/>
                <w:right w:val="none" w:sz="0" w:space="0" w:color="auto"/>
              </w:divBdr>
            </w:div>
            <w:div w:id="737290343">
              <w:marLeft w:val="0"/>
              <w:marRight w:val="0"/>
              <w:marTop w:val="0"/>
              <w:marBottom w:val="0"/>
              <w:divBdr>
                <w:top w:val="none" w:sz="0" w:space="0" w:color="auto"/>
                <w:left w:val="none" w:sz="0" w:space="0" w:color="auto"/>
                <w:bottom w:val="none" w:sz="0" w:space="0" w:color="auto"/>
                <w:right w:val="none" w:sz="0" w:space="0" w:color="auto"/>
              </w:divBdr>
            </w:div>
            <w:div w:id="970817506">
              <w:marLeft w:val="0"/>
              <w:marRight w:val="0"/>
              <w:marTop w:val="0"/>
              <w:marBottom w:val="0"/>
              <w:divBdr>
                <w:top w:val="none" w:sz="0" w:space="0" w:color="auto"/>
                <w:left w:val="none" w:sz="0" w:space="0" w:color="auto"/>
                <w:bottom w:val="none" w:sz="0" w:space="0" w:color="auto"/>
                <w:right w:val="none" w:sz="0" w:space="0" w:color="auto"/>
              </w:divBdr>
            </w:div>
            <w:div w:id="1005790302">
              <w:marLeft w:val="0"/>
              <w:marRight w:val="0"/>
              <w:marTop w:val="0"/>
              <w:marBottom w:val="0"/>
              <w:divBdr>
                <w:top w:val="none" w:sz="0" w:space="0" w:color="auto"/>
                <w:left w:val="none" w:sz="0" w:space="0" w:color="auto"/>
                <w:bottom w:val="none" w:sz="0" w:space="0" w:color="auto"/>
                <w:right w:val="none" w:sz="0" w:space="0" w:color="auto"/>
              </w:divBdr>
            </w:div>
          </w:divsChild>
        </w:div>
        <w:div w:id="935215566">
          <w:marLeft w:val="0"/>
          <w:marRight w:val="0"/>
          <w:marTop w:val="0"/>
          <w:marBottom w:val="0"/>
          <w:divBdr>
            <w:top w:val="none" w:sz="0" w:space="0" w:color="auto"/>
            <w:left w:val="none" w:sz="0" w:space="0" w:color="auto"/>
            <w:bottom w:val="none" w:sz="0" w:space="0" w:color="auto"/>
            <w:right w:val="none" w:sz="0" w:space="0" w:color="auto"/>
          </w:divBdr>
        </w:div>
        <w:div w:id="968902974">
          <w:marLeft w:val="0"/>
          <w:marRight w:val="0"/>
          <w:marTop w:val="0"/>
          <w:marBottom w:val="0"/>
          <w:divBdr>
            <w:top w:val="none" w:sz="0" w:space="0" w:color="auto"/>
            <w:left w:val="none" w:sz="0" w:space="0" w:color="auto"/>
            <w:bottom w:val="none" w:sz="0" w:space="0" w:color="auto"/>
            <w:right w:val="none" w:sz="0" w:space="0" w:color="auto"/>
          </w:divBdr>
        </w:div>
        <w:div w:id="1234583414">
          <w:marLeft w:val="0"/>
          <w:marRight w:val="0"/>
          <w:marTop w:val="0"/>
          <w:marBottom w:val="0"/>
          <w:divBdr>
            <w:top w:val="none" w:sz="0" w:space="0" w:color="auto"/>
            <w:left w:val="none" w:sz="0" w:space="0" w:color="auto"/>
            <w:bottom w:val="none" w:sz="0" w:space="0" w:color="auto"/>
            <w:right w:val="none" w:sz="0" w:space="0" w:color="auto"/>
          </w:divBdr>
        </w:div>
        <w:div w:id="1450123879">
          <w:marLeft w:val="0"/>
          <w:marRight w:val="0"/>
          <w:marTop w:val="0"/>
          <w:marBottom w:val="0"/>
          <w:divBdr>
            <w:top w:val="none" w:sz="0" w:space="0" w:color="auto"/>
            <w:left w:val="none" w:sz="0" w:space="0" w:color="auto"/>
            <w:bottom w:val="none" w:sz="0" w:space="0" w:color="auto"/>
            <w:right w:val="none" w:sz="0" w:space="0" w:color="auto"/>
          </w:divBdr>
        </w:div>
        <w:div w:id="1779637980">
          <w:marLeft w:val="0"/>
          <w:marRight w:val="0"/>
          <w:marTop w:val="0"/>
          <w:marBottom w:val="0"/>
          <w:divBdr>
            <w:top w:val="none" w:sz="0" w:space="0" w:color="auto"/>
            <w:left w:val="none" w:sz="0" w:space="0" w:color="auto"/>
            <w:bottom w:val="none" w:sz="0" w:space="0" w:color="auto"/>
            <w:right w:val="none" w:sz="0" w:space="0" w:color="auto"/>
          </w:divBdr>
        </w:div>
        <w:div w:id="2128307499">
          <w:marLeft w:val="0"/>
          <w:marRight w:val="0"/>
          <w:marTop w:val="0"/>
          <w:marBottom w:val="0"/>
          <w:divBdr>
            <w:top w:val="none" w:sz="0" w:space="0" w:color="auto"/>
            <w:left w:val="none" w:sz="0" w:space="0" w:color="auto"/>
            <w:bottom w:val="none" w:sz="0" w:space="0" w:color="auto"/>
            <w:right w:val="none" w:sz="0" w:space="0" w:color="auto"/>
          </w:divBdr>
        </w:div>
      </w:divsChild>
    </w:div>
    <w:div w:id="1791048446">
      <w:bodyDiv w:val="1"/>
      <w:marLeft w:val="0"/>
      <w:marRight w:val="0"/>
      <w:marTop w:val="0"/>
      <w:marBottom w:val="0"/>
      <w:divBdr>
        <w:top w:val="none" w:sz="0" w:space="0" w:color="auto"/>
        <w:left w:val="none" w:sz="0" w:space="0" w:color="auto"/>
        <w:bottom w:val="none" w:sz="0" w:space="0" w:color="auto"/>
        <w:right w:val="none" w:sz="0" w:space="0" w:color="auto"/>
      </w:divBdr>
      <w:divsChild>
        <w:div w:id="123549205">
          <w:marLeft w:val="0"/>
          <w:marRight w:val="0"/>
          <w:marTop w:val="0"/>
          <w:marBottom w:val="0"/>
          <w:divBdr>
            <w:top w:val="none" w:sz="0" w:space="0" w:color="auto"/>
            <w:left w:val="none" w:sz="0" w:space="0" w:color="auto"/>
            <w:bottom w:val="none" w:sz="0" w:space="0" w:color="auto"/>
            <w:right w:val="none" w:sz="0" w:space="0" w:color="auto"/>
          </w:divBdr>
        </w:div>
        <w:div w:id="180553376">
          <w:marLeft w:val="0"/>
          <w:marRight w:val="0"/>
          <w:marTop w:val="0"/>
          <w:marBottom w:val="0"/>
          <w:divBdr>
            <w:top w:val="none" w:sz="0" w:space="0" w:color="auto"/>
            <w:left w:val="none" w:sz="0" w:space="0" w:color="auto"/>
            <w:bottom w:val="none" w:sz="0" w:space="0" w:color="auto"/>
            <w:right w:val="none" w:sz="0" w:space="0" w:color="auto"/>
          </w:divBdr>
        </w:div>
        <w:div w:id="271280111">
          <w:marLeft w:val="0"/>
          <w:marRight w:val="0"/>
          <w:marTop w:val="0"/>
          <w:marBottom w:val="0"/>
          <w:divBdr>
            <w:top w:val="none" w:sz="0" w:space="0" w:color="auto"/>
            <w:left w:val="none" w:sz="0" w:space="0" w:color="auto"/>
            <w:bottom w:val="none" w:sz="0" w:space="0" w:color="auto"/>
            <w:right w:val="none" w:sz="0" w:space="0" w:color="auto"/>
          </w:divBdr>
        </w:div>
        <w:div w:id="599262732">
          <w:marLeft w:val="0"/>
          <w:marRight w:val="0"/>
          <w:marTop w:val="0"/>
          <w:marBottom w:val="0"/>
          <w:divBdr>
            <w:top w:val="none" w:sz="0" w:space="0" w:color="auto"/>
            <w:left w:val="none" w:sz="0" w:space="0" w:color="auto"/>
            <w:bottom w:val="none" w:sz="0" w:space="0" w:color="auto"/>
            <w:right w:val="none" w:sz="0" w:space="0" w:color="auto"/>
          </w:divBdr>
        </w:div>
        <w:div w:id="783184797">
          <w:marLeft w:val="0"/>
          <w:marRight w:val="0"/>
          <w:marTop w:val="0"/>
          <w:marBottom w:val="0"/>
          <w:divBdr>
            <w:top w:val="none" w:sz="0" w:space="0" w:color="auto"/>
            <w:left w:val="none" w:sz="0" w:space="0" w:color="auto"/>
            <w:bottom w:val="none" w:sz="0" w:space="0" w:color="auto"/>
            <w:right w:val="none" w:sz="0" w:space="0" w:color="auto"/>
          </w:divBdr>
        </w:div>
        <w:div w:id="1390571599">
          <w:marLeft w:val="0"/>
          <w:marRight w:val="0"/>
          <w:marTop w:val="0"/>
          <w:marBottom w:val="0"/>
          <w:divBdr>
            <w:top w:val="none" w:sz="0" w:space="0" w:color="auto"/>
            <w:left w:val="none" w:sz="0" w:space="0" w:color="auto"/>
            <w:bottom w:val="none" w:sz="0" w:space="0" w:color="auto"/>
            <w:right w:val="none" w:sz="0" w:space="0" w:color="auto"/>
          </w:divBdr>
        </w:div>
        <w:div w:id="1983191562">
          <w:marLeft w:val="0"/>
          <w:marRight w:val="0"/>
          <w:marTop w:val="0"/>
          <w:marBottom w:val="0"/>
          <w:divBdr>
            <w:top w:val="none" w:sz="0" w:space="0" w:color="auto"/>
            <w:left w:val="none" w:sz="0" w:space="0" w:color="auto"/>
            <w:bottom w:val="none" w:sz="0" w:space="0" w:color="auto"/>
            <w:right w:val="none" w:sz="0" w:space="0" w:color="auto"/>
          </w:divBdr>
        </w:div>
      </w:divsChild>
    </w:div>
    <w:div w:id="1792897560">
      <w:bodyDiv w:val="1"/>
      <w:marLeft w:val="0"/>
      <w:marRight w:val="0"/>
      <w:marTop w:val="0"/>
      <w:marBottom w:val="0"/>
      <w:divBdr>
        <w:top w:val="none" w:sz="0" w:space="0" w:color="auto"/>
        <w:left w:val="none" w:sz="0" w:space="0" w:color="auto"/>
        <w:bottom w:val="none" w:sz="0" w:space="0" w:color="auto"/>
        <w:right w:val="none" w:sz="0" w:space="0" w:color="auto"/>
      </w:divBdr>
      <w:divsChild>
        <w:div w:id="475999496">
          <w:marLeft w:val="0"/>
          <w:marRight w:val="0"/>
          <w:marTop w:val="0"/>
          <w:marBottom w:val="0"/>
          <w:divBdr>
            <w:top w:val="none" w:sz="0" w:space="0" w:color="auto"/>
            <w:left w:val="none" w:sz="0" w:space="0" w:color="auto"/>
            <w:bottom w:val="none" w:sz="0" w:space="0" w:color="auto"/>
            <w:right w:val="none" w:sz="0" w:space="0" w:color="auto"/>
          </w:divBdr>
        </w:div>
        <w:div w:id="560676908">
          <w:marLeft w:val="0"/>
          <w:marRight w:val="0"/>
          <w:marTop w:val="0"/>
          <w:marBottom w:val="0"/>
          <w:divBdr>
            <w:top w:val="none" w:sz="0" w:space="0" w:color="auto"/>
            <w:left w:val="none" w:sz="0" w:space="0" w:color="auto"/>
            <w:bottom w:val="none" w:sz="0" w:space="0" w:color="auto"/>
            <w:right w:val="none" w:sz="0" w:space="0" w:color="auto"/>
          </w:divBdr>
        </w:div>
        <w:div w:id="719523182">
          <w:marLeft w:val="0"/>
          <w:marRight w:val="0"/>
          <w:marTop w:val="0"/>
          <w:marBottom w:val="0"/>
          <w:divBdr>
            <w:top w:val="none" w:sz="0" w:space="0" w:color="auto"/>
            <w:left w:val="none" w:sz="0" w:space="0" w:color="auto"/>
            <w:bottom w:val="none" w:sz="0" w:space="0" w:color="auto"/>
            <w:right w:val="none" w:sz="0" w:space="0" w:color="auto"/>
          </w:divBdr>
        </w:div>
        <w:div w:id="760370159">
          <w:marLeft w:val="0"/>
          <w:marRight w:val="0"/>
          <w:marTop w:val="0"/>
          <w:marBottom w:val="0"/>
          <w:divBdr>
            <w:top w:val="none" w:sz="0" w:space="0" w:color="auto"/>
            <w:left w:val="none" w:sz="0" w:space="0" w:color="auto"/>
            <w:bottom w:val="none" w:sz="0" w:space="0" w:color="auto"/>
            <w:right w:val="none" w:sz="0" w:space="0" w:color="auto"/>
          </w:divBdr>
        </w:div>
        <w:div w:id="872578370">
          <w:marLeft w:val="0"/>
          <w:marRight w:val="0"/>
          <w:marTop w:val="0"/>
          <w:marBottom w:val="0"/>
          <w:divBdr>
            <w:top w:val="none" w:sz="0" w:space="0" w:color="auto"/>
            <w:left w:val="none" w:sz="0" w:space="0" w:color="auto"/>
            <w:bottom w:val="none" w:sz="0" w:space="0" w:color="auto"/>
            <w:right w:val="none" w:sz="0" w:space="0" w:color="auto"/>
          </w:divBdr>
        </w:div>
        <w:div w:id="882789459">
          <w:marLeft w:val="0"/>
          <w:marRight w:val="0"/>
          <w:marTop w:val="0"/>
          <w:marBottom w:val="0"/>
          <w:divBdr>
            <w:top w:val="none" w:sz="0" w:space="0" w:color="auto"/>
            <w:left w:val="none" w:sz="0" w:space="0" w:color="auto"/>
            <w:bottom w:val="none" w:sz="0" w:space="0" w:color="auto"/>
            <w:right w:val="none" w:sz="0" w:space="0" w:color="auto"/>
          </w:divBdr>
        </w:div>
        <w:div w:id="1730028564">
          <w:marLeft w:val="0"/>
          <w:marRight w:val="0"/>
          <w:marTop w:val="0"/>
          <w:marBottom w:val="0"/>
          <w:divBdr>
            <w:top w:val="none" w:sz="0" w:space="0" w:color="auto"/>
            <w:left w:val="none" w:sz="0" w:space="0" w:color="auto"/>
            <w:bottom w:val="none" w:sz="0" w:space="0" w:color="auto"/>
            <w:right w:val="none" w:sz="0" w:space="0" w:color="auto"/>
          </w:divBdr>
        </w:div>
      </w:divsChild>
    </w:div>
    <w:div w:id="1793742469">
      <w:bodyDiv w:val="1"/>
      <w:marLeft w:val="0"/>
      <w:marRight w:val="0"/>
      <w:marTop w:val="0"/>
      <w:marBottom w:val="0"/>
      <w:divBdr>
        <w:top w:val="none" w:sz="0" w:space="0" w:color="auto"/>
        <w:left w:val="none" w:sz="0" w:space="0" w:color="auto"/>
        <w:bottom w:val="none" w:sz="0" w:space="0" w:color="auto"/>
        <w:right w:val="none" w:sz="0" w:space="0" w:color="auto"/>
      </w:divBdr>
      <w:divsChild>
        <w:div w:id="851647122">
          <w:marLeft w:val="0"/>
          <w:marRight w:val="0"/>
          <w:marTop w:val="0"/>
          <w:marBottom w:val="0"/>
          <w:divBdr>
            <w:top w:val="none" w:sz="0" w:space="0" w:color="auto"/>
            <w:left w:val="none" w:sz="0" w:space="0" w:color="auto"/>
            <w:bottom w:val="none" w:sz="0" w:space="0" w:color="auto"/>
            <w:right w:val="none" w:sz="0" w:space="0" w:color="auto"/>
          </w:divBdr>
        </w:div>
        <w:div w:id="1220477754">
          <w:marLeft w:val="0"/>
          <w:marRight w:val="0"/>
          <w:marTop w:val="0"/>
          <w:marBottom w:val="0"/>
          <w:divBdr>
            <w:top w:val="none" w:sz="0" w:space="0" w:color="auto"/>
            <w:left w:val="none" w:sz="0" w:space="0" w:color="auto"/>
            <w:bottom w:val="none" w:sz="0" w:space="0" w:color="auto"/>
            <w:right w:val="none" w:sz="0" w:space="0" w:color="auto"/>
          </w:divBdr>
        </w:div>
        <w:div w:id="1339505764">
          <w:marLeft w:val="0"/>
          <w:marRight w:val="0"/>
          <w:marTop w:val="0"/>
          <w:marBottom w:val="0"/>
          <w:divBdr>
            <w:top w:val="none" w:sz="0" w:space="0" w:color="auto"/>
            <w:left w:val="none" w:sz="0" w:space="0" w:color="auto"/>
            <w:bottom w:val="none" w:sz="0" w:space="0" w:color="auto"/>
            <w:right w:val="none" w:sz="0" w:space="0" w:color="auto"/>
          </w:divBdr>
        </w:div>
        <w:div w:id="1618490397">
          <w:marLeft w:val="0"/>
          <w:marRight w:val="0"/>
          <w:marTop w:val="0"/>
          <w:marBottom w:val="0"/>
          <w:divBdr>
            <w:top w:val="none" w:sz="0" w:space="0" w:color="auto"/>
            <w:left w:val="none" w:sz="0" w:space="0" w:color="auto"/>
            <w:bottom w:val="none" w:sz="0" w:space="0" w:color="auto"/>
            <w:right w:val="none" w:sz="0" w:space="0" w:color="auto"/>
          </w:divBdr>
        </w:div>
        <w:div w:id="1969579551">
          <w:marLeft w:val="0"/>
          <w:marRight w:val="0"/>
          <w:marTop w:val="0"/>
          <w:marBottom w:val="0"/>
          <w:divBdr>
            <w:top w:val="none" w:sz="0" w:space="0" w:color="auto"/>
            <w:left w:val="none" w:sz="0" w:space="0" w:color="auto"/>
            <w:bottom w:val="none" w:sz="0" w:space="0" w:color="auto"/>
            <w:right w:val="none" w:sz="0" w:space="0" w:color="auto"/>
          </w:divBdr>
        </w:div>
      </w:divsChild>
    </w:div>
    <w:div w:id="1800417619">
      <w:bodyDiv w:val="1"/>
      <w:marLeft w:val="0"/>
      <w:marRight w:val="0"/>
      <w:marTop w:val="0"/>
      <w:marBottom w:val="0"/>
      <w:divBdr>
        <w:top w:val="none" w:sz="0" w:space="0" w:color="auto"/>
        <w:left w:val="none" w:sz="0" w:space="0" w:color="auto"/>
        <w:bottom w:val="none" w:sz="0" w:space="0" w:color="auto"/>
        <w:right w:val="none" w:sz="0" w:space="0" w:color="auto"/>
      </w:divBdr>
      <w:divsChild>
        <w:div w:id="555242388">
          <w:marLeft w:val="0"/>
          <w:marRight w:val="0"/>
          <w:marTop w:val="0"/>
          <w:marBottom w:val="0"/>
          <w:divBdr>
            <w:top w:val="none" w:sz="0" w:space="0" w:color="auto"/>
            <w:left w:val="none" w:sz="0" w:space="0" w:color="auto"/>
            <w:bottom w:val="none" w:sz="0" w:space="0" w:color="auto"/>
            <w:right w:val="none" w:sz="0" w:space="0" w:color="auto"/>
          </w:divBdr>
          <w:divsChild>
            <w:div w:id="106194797">
              <w:marLeft w:val="0"/>
              <w:marRight w:val="0"/>
              <w:marTop w:val="0"/>
              <w:marBottom w:val="0"/>
              <w:divBdr>
                <w:top w:val="none" w:sz="0" w:space="0" w:color="auto"/>
                <w:left w:val="none" w:sz="0" w:space="0" w:color="auto"/>
                <w:bottom w:val="none" w:sz="0" w:space="0" w:color="auto"/>
                <w:right w:val="none" w:sz="0" w:space="0" w:color="auto"/>
              </w:divBdr>
            </w:div>
            <w:div w:id="764837532">
              <w:marLeft w:val="0"/>
              <w:marRight w:val="0"/>
              <w:marTop w:val="0"/>
              <w:marBottom w:val="0"/>
              <w:divBdr>
                <w:top w:val="none" w:sz="0" w:space="0" w:color="auto"/>
                <w:left w:val="none" w:sz="0" w:space="0" w:color="auto"/>
                <w:bottom w:val="none" w:sz="0" w:space="0" w:color="auto"/>
                <w:right w:val="none" w:sz="0" w:space="0" w:color="auto"/>
              </w:divBdr>
            </w:div>
            <w:div w:id="1550261644">
              <w:marLeft w:val="0"/>
              <w:marRight w:val="0"/>
              <w:marTop w:val="0"/>
              <w:marBottom w:val="0"/>
              <w:divBdr>
                <w:top w:val="none" w:sz="0" w:space="0" w:color="auto"/>
                <w:left w:val="none" w:sz="0" w:space="0" w:color="auto"/>
                <w:bottom w:val="none" w:sz="0" w:space="0" w:color="auto"/>
                <w:right w:val="none" w:sz="0" w:space="0" w:color="auto"/>
              </w:divBdr>
            </w:div>
            <w:div w:id="1671251515">
              <w:marLeft w:val="0"/>
              <w:marRight w:val="0"/>
              <w:marTop w:val="0"/>
              <w:marBottom w:val="0"/>
              <w:divBdr>
                <w:top w:val="none" w:sz="0" w:space="0" w:color="auto"/>
                <w:left w:val="none" w:sz="0" w:space="0" w:color="auto"/>
                <w:bottom w:val="none" w:sz="0" w:space="0" w:color="auto"/>
                <w:right w:val="none" w:sz="0" w:space="0" w:color="auto"/>
              </w:divBdr>
            </w:div>
            <w:div w:id="1714235321">
              <w:marLeft w:val="0"/>
              <w:marRight w:val="0"/>
              <w:marTop w:val="0"/>
              <w:marBottom w:val="0"/>
              <w:divBdr>
                <w:top w:val="none" w:sz="0" w:space="0" w:color="auto"/>
                <w:left w:val="none" w:sz="0" w:space="0" w:color="auto"/>
                <w:bottom w:val="none" w:sz="0" w:space="0" w:color="auto"/>
                <w:right w:val="none" w:sz="0" w:space="0" w:color="auto"/>
              </w:divBdr>
            </w:div>
          </w:divsChild>
        </w:div>
        <w:div w:id="1255939637">
          <w:marLeft w:val="0"/>
          <w:marRight w:val="0"/>
          <w:marTop w:val="0"/>
          <w:marBottom w:val="0"/>
          <w:divBdr>
            <w:top w:val="none" w:sz="0" w:space="0" w:color="auto"/>
            <w:left w:val="none" w:sz="0" w:space="0" w:color="auto"/>
            <w:bottom w:val="none" w:sz="0" w:space="0" w:color="auto"/>
            <w:right w:val="none" w:sz="0" w:space="0" w:color="auto"/>
          </w:divBdr>
        </w:div>
        <w:div w:id="1610895681">
          <w:marLeft w:val="0"/>
          <w:marRight w:val="0"/>
          <w:marTop w:val="0"/>
          <w:marBottom w:val="0"/>
          <w:divBdr>
            <w:top w:val="none" w:sz="0" w:space="0" w:color="auto"/>
            <w:left w:val="none" w:sz="0" w:space="0" w:color="auto"/>
            <w:bottom w:val="none" w:sz="0" w:space="0" w:color="auto"/>
            <w:right w:val="none" w:sz="0" w:space="0" w:color="auto"/>
          </w:divBdr>
        </w:div>
        <w:div w:id="1934120675">
          <w:marLeft w:val="0"/>
          <w:marRight w:val="0"/>
          <w:marTop w:val="0"/>
          <w:marBottom w:val="0"/>
          <w:divBdr>
            <w:top w:val="none" w:sz="0" w:space="0" w:color="auto"/>
            <w:left w:val="none" w:sz="0" w:space="0" w:color="auto"/>
            <w:bottom w:val="none" w:sz="0" w:space="0" w:color="auto"/>
            <w:right w:val="none" w:sz="0" w:space="0" w:color="auto"/>
          </w:divBdr>
        </w:div>
      </w:divsChild>
    </w:div>
    <w:div w:id="1801147661">
      <w:bodyDiv w:val="1"/>
      <w:marLeft w:val="0"/>
      <w:marRight w:val="0"/>
      <w:marTop w:val="0"/>
      <w:marBottom w:val="0"/>
      <w:divBdr>
        <w:top w:val="none" w:sz="0" w:space="0" w:color="auto"/>
        <w:left w:val="none" w:sz="0" w:space="0" w:color="auto"/>
        <w:bottom w:val="none" w:sz="0" w:space="0" w:color="auto"/>
        <w:right w:val="none" w:sz="0" w:space="0" w:color="auto"/>
      </w:divBdr>
      <w:divsChild>
        <w:div w:id="223756865">
          <w:marLeft w:val="0"/>
          <w:marRight w:val="0"/>
          <w:marTop w:val="0"/>
          <w:marBottom w:val="0"/>
          <w:divBdr>
            <w:top w:val="none" w:sz="0" w:space="0" w:color="auto"/>
            <w:left w:val="none" w:sz="0" w:space="0" w:color="auto"/>
            <w:bottom w:val="none" w:sz="0" w:space="0" w:color="auto"/>
            <w:right w:val="none" w:sz="0" w:space="0" w:color="auto"/>
          </w:divBdr>
        </w:div>
        <w:div w:id="427820409">
          <w:marLeft w:val="0"/>
          <w:marRight w:val="0"/>
          <w:marTop w:val="0"/>
          <w:marBottom w:val="0"/>
          <w:divBdr>
            <w:top w:val="none" w:sz="0" w:space="0" w:color="auto"/>
            <w:left w:val="none" w:sz="0" w:space="0" w:color="auto"/>
            <w:bottom w:val="none" w:sz="0" w:space="0" w:color="auto"/>
            <w:right w:val="none" w:sz="0" w:space="0" w:color="auto"/>
          </w:divBdr>
        </w:div>
        <w:div w:id="1516455036">
          <w:marLeft w:val="0"/>
          <w:marRight w:val="0"/>
          <w:marTop w:val="0"/>
          <w:marBottom w:val="0"/>
          <w:divBdr>
            <w:top w:val="none" w:sz="0" w:space="0" w:color="auto"/>
            <w:left w:val="none" w:sz="0" w:space="0" w:color="auto"/>
            <w:bottom w:val="none" w:sz="0" w:space="0" w:color="auto"/>
            <w:right w:val="none" w:sz="0" w:space="0" w:color="auto"/>
          </w:divBdr>
        </w:div>
      </w:divsChild>
    </w:div>
    <w:div w:id="1822887442">
      <w:bodyDiv w:val="1"/>
      <w:marLeft w:val="0"/>
      <w:marRight w:val="0"/>
      <w:marTop w:val="0"/>
      <w:marBottom w:val="0"/>
      <w:divBdr>
        <w:top w:val="none" w:sz="0" w:space="0" w:color="auto"/>
        <w:left w:val="none" w:sz="0" w:space="0" w:color="auto"/>
        <w:bottom w:val="none" w:sz="0" w:space="0" w:color="auto"/>
        <w:right w:val="none" w:sz="0" w:space="0" w:color="auto"/>
      </w:divBdr>
      <w:divsChild>
        <w:div w:id="60249149">
          <w:marLeft w:val="0"/>
          <w:marRight w:val="0"/>
          <w:marTop w:val="0"/>
          <w:marBottom w:val="0"/>
          <w:divBdr>
            <w:top w:val="none" w:sz="0" w:space="0" w:color="auto"/>
            <w:left w:val="none" w:sz="0" w:space="0" w:color="auto"/>
            <w:bottom w:val="none" w:sz="0" w:space="0" w:color="auto"/>
            <w:right w:val="none" w:sz="0" w:space="0" w:color="auto"/>
          </w:divBdr>
        </w:div>
        <w:div w:id="218591407">
          <w:marLeft w:val="0"/>
          <w:marRight w:val="0"/>
          <w:marTop w:val="0"/>
          <w:marBottom w:val="0"/>
          <w:divBdr>
            <w:top w:val="none" w:sz="0" w:space="0" w:color="auto"/>
            <w:left w:val="none" w:sz="0" w:space="0" w:color="auto"/>
            <w:bottom w:val="none" w:sz="0" w:space="0" w:color="auto"/>
            <w:right w:val="none" w:sz="0" w:space="0" w:color="auto"/>
          </w:divBdr>
        </w:div>
        <w:div w:id="374700466">
          <w:marLeft w:val="0"/>
          <w:marRight w:val="0"/>
          <w:marTop w:val="0"/>
          <w:marBottom w:val="0"/>
          <w:divBdr>
            <w:top w:val="none" w:sz="0" w:space="0" w:color="auto"/>
            <w:left w:val="none" w:sz="0" w:space="0" w:color="auto"/>
            <w:bottom w:val="none" w:sz="0" w:space="0" w:color="auto"/>
            <w:right w:val="none" w:sz="0" w:space="0" w:color="auto"/>
          </w:divBdr>
        </w:div>
        <w:div w:id="838889133">
          <w:marLeft w:val="0"/>
          <w:marRight w:val="0"/>
          <w:marTop w:val="0"/>
          <w:marBottom w:val="0"/>
          <w:divBdr>
            <w:top w:val="none" w:sz="0" w:space="0" w:color="auto"/>
            <w:left w:val="none" w:sz="0" w:space="0" w:color="auto"/>
            <w:bottom w:val="none" w:sz="0" w:space="0" w:color="auto"/>
            <w:right w:val="none" w:sz="0" w:space="0" w:color="auto"/>
          </w:divBdr>
        </w:div>
        <w:div w:id="1331369868">
          <w:marLeft w:val="0"/>
          <w:marRight w:val="0"/>
          <w:marTop w:val="0"/>
          <w:marBottom w:val="0"/>
          <w:divBdr>
            <w:top w:val="none" w:sz="0" w:space="0" w:color="auto"/>
            <w:left w:val="none" w:sz="0" w:space="0" w:color="auto"/>
            <w:bottom w:val="none" w:sz="0" w:space="0" w:color="auto"/>
            <w:right w:val="none" w:sz="0" w:space="0" w:color="auto"/>
          </w:divBdr>
        </w:div>
        <w:div w:id="1438989316">
          <w:marLeft w:val="0"/>
          <w:marRight w:val="0"/>
          <w:marTop w:val="0"/>
          <w:marBottom w:val="0"/>
          <w:divBdr>
            <w:top w:val="none" w:sz="0" w:space="0" w:color="auto"/>
            <w:left w:val="none" w:sz="0" w:space="0" w:color="auto"/>
            <w:bottom w:val="none" w:sz="0" w:space="0" w:color="auto"/>
            <w:right w:val="none" w:sz="0" w:space="0" w:color="auto"/>
          </w:divBdr>
        </w:div>
        <w:div w:id="2128499505">
          <w:marLeft w:val="0"/>
          <w:marRight w:val="0"/>
          <w:marTop w:val="0"/>
          <w:marBottom w:val="0"/>
          <w:divBdr>
            <w:top w:val="none" w:sz="0" w:space="0" w:color="auto"/>
            <w:left w:val="none" w:sz="0" w:space="0" w:color="auto"/>
            <w:bottom w:val="none" w:sz="0" w:space="0" w:color="auto"/>
            <w:right w:val="none" w:sz="0" w:space="0" w:color="auto"/>
          </w:divBdr>
        </w:div>
      </w:divsChild>
    </w:div>
    <w:div w:id="1874464573">
      <w:bodyDiv w:val="1"/>
      <w:marLeft w:val="0"/>
      <w:marRight w:val="0"/>
      <w:marTop w:val="0"/>
      <w:marBottom w:val="0"/>
      <w:divBdr>
        <w:top w:val="none" w:sz="0" w:space="0" w:color="auto"/>
        <w:left w:val="none" w:sz="0" w:space="0" w:color="auto"/>
        <w:bottom w:val="none" w:sz="0" w:space="0" w:color="auto"/>
        <w:right w:val="none" w:sz="0" w:space="0" w:color="auto"/>
      </w:divBdr>
      <w:divsChild>
        <w:div w:id="1442263900">
          <w:marLeft w:val="0"/>
          <w:marRight w:val="0"/>
          <w:marTop w:val="0"/>
          <w:marBottom w:val="0"/>
          <w:divBdr>
            <w:top w:val="none" w:sz="0" w:space="0" w:color="auto"/>
            <w:left w:val="none" w:sz="0" w:space="0" w:color="auto"/>
            <w:bottom w:val="none" w:sz="0" w:space="0" w:color="auto"/>
            <w:right w:val="none" w:sz="0" w:space="0" w:color="auto"/>
          </w:divBdr>
          <w:divsChild>
            <w:div w:id="286158135">
              <w:marLeft w:val="0"/>
              <w:marRight w:val="0"/>
              <w:marTop w:val="0"/>
              <w:marBottom w:val="0"/>
              <w:divBdr>
                <w:top w:val="none" w:sz="0" w:space="0" w:color="auto"/>
                <w:left w:val="none" w:sz="0" w:space="0" w:color="auto"/>
                <w:bottom w:val="none" w:sz="0" w:space="0" w:color="auto"/>
                <w:right w:val="none" w:sz="0" w:space="0" w:color="auto"/>
              </w:divBdr>
            </w:div>
            <w:div w:id="1305433450">
              <w:marLeft w:val="0"/>
              <w:marRight w:val="0"/>
              <w:marTop w:val="0"/>
              <w:marBottom w:val="0"/>
              <w:divBdr>
                <w:top w:val="none" w:sz="0" w:space="0" w:color="auto"/>
                <w:left w:val="none" w:sz="0" w:space="0" w:color="auto"/>
                <w:bottom w:val="none" w:sz="0" w:space="0" w:color="auto"/>
                <w:right w:val="none" w:sz="0" w:space="0" w:color="auto"/>
              </w:divBdr>
            </w:div>
            <w:div w:id="1587421490">
              <w:marLeft w:val="0"/>
              <w:marRight w:val="0"/>
              <w:marTop w:val="0"/>
              <w:marBottom w:val="0"/>
              <w:divBdr>
                <w:top w:val="none" w:sz="0" w:space="0" w:color="auto"/>
                <w:left w:val="none" w:sz="0" w:space="0" w:color="auto"/>
                <w:bottom w:val="none" w:sz="0" w:space="0" w:color="auto"/>
                <w:right w:val="none" w:sz="0" w:space="0" w:color="auto"/>
              </w:divBdr>
            </w:div>
          </w:divsChild>
        </w:div>
        <w:div w:id="1656379367">
          <w:marLeft w:val="0"/>
          <w:marRight w:val="0"/>
          <w:marTop w:val="0"/>
          <w:marBottom w:val="0"/>
          <w:divBdr>
            <w:top w:val="none" w:sz="0" w:space="0" w:color="auto"/>
            <w:left w:val="none" w:sz="0" w:space="0" w:color="auto"/>
            <w:bottom w:val="none" w:sz="0" w:space="0" w:color="auto"/>
            <w:right w:val="none" w:sz="0" w:space="0" w:color="auto"/>
          </w:divBdr>
          <w:divsChild>
            <w:div w:id="102770592">
              <w:marLeft w:val="0"/>
              <w:marRight w:val="0"/>
              <w:marTop w:val="0"/>
              <w:marBottom w:val="0"/>
              <w:divBdr>
                <w:top w:val="none" w:sz="0" w:space="0" w:color="auto"/>
                <w:left w:val="none" w:sz="0" w:space="0" w:color="auto"/>
                <w:bottom w:val="none" w:sz="0" w:space="0" w:color="auto"/>
                <w:right w:val="none" w:sz="0" w:space="0" w:color="auto"/>
              </w:divBdr>
            </w:div>
            <w:div w:id="1630622385">
              <w:marLeft w:val="0"/>
              <w:marRight w:val="0"/>
              <w:marTop w:val="0"/>
              <w:marBottom w:val="0"/>
              <w:divBdr>
                <w:top w:val="none" w:sz="0" w:space="0" w:color="auto"/>
                <w:left w:val="none" w:sz="0" w:space="0" w:color="auto"/>
                <w:bottom w:val="none" w:sz="0" w:space="0" w:color="auto"/>
                <w:right w:val="none" w:sz="0" w:space="0" w:color="auto"/>
              </w:divBdr>
            </w:div>
            <w:div w:id="1714189213">
              <w:marLeft w:val="0"/>
              <w:marRight w:val="0"/>
              <w:marTop w:val="0"/>
              <w:marBottom w:val="0"/>
              <w:divBdr>
                <w:top w:val="none" w:sz="0" w:space="0" w:color="auto"/>
                <w:left w:val="none" w:sz="0" w:space="0" w:color="auto"/>
                <w:bottom w:val="none" w:sz="0" w:space="0" w:color="auto"/>
                <w:right w:val="none" w:sz="0" w:space="0" w:color="auto"/>
              </w:divBdr>
            </w:div>
            <w:div w:id="2006005732">
              <w:marLeft w:val="0"/>
              <w:marRight w:val="0"/>
              <w:marTop w:val="0"/>
              <w:marBottom w:val="0"/>
              <w:divBdr>
                <w:top w:val="none" w:sz="0" w:space="0" w:color="auto"/>
                <w:left w:val="none" w:sz="0" w:space="0" w:color="auto"/>
                <w:bottom w:val="none" w:sz="0" w:space="0" w:color="auto"/>
                <w:right w:val="none" w:sz="0" w:space="0" w:color="auto"/>
              </w:divBdr>
            </w:div>
            <w:div w:id="2128545845">
              <w:marLeft w:val="0"/>
              <w:marRight w:val="0"/>
              <w:marTop w:val="0"/>
              <w:marBottom w:val="0"/>
              <w:divBdr>
                <w:top w:val="none" w:sz="0" w:space="0" w:color="auto"/>
                <w:left w:val="none" w:sz="0" w:space="0" w:color="auto"/>
                <w:bottom w:val="none" w:sz="0" w:space="0" w:color="auto"/>
                <w:right w:val="none" w:sz="0" w:space="0" w:color="auto"/>
              </w:divBdr>
            </w:div>
          </w:divsChild>
        </w:div>
        <w:div w:id="1660421657">
          <w:marLeft w:val="0"/>
          <w:marRight w:val="0"/>
          <w:marTop w:val="0"/>
          <w:marBottom w:val="0"/>
          <w:divBdr>
            <w:top w:val="none" w:sz="0" w:space="0" w:color="auto"/>
            <w:left w:val="none" w:sz="0" w:space="0" w:color="auto"/>
            <w:bottom w:val="none" w:sz="0" w:space="0" w:color="auto"/>
            <w:right w:val="none" w:sz="0" w:space="0" w:color="auto"/>
          </w:divBdr>
          <w:divsChild>
            <w:div w:id="1213884480">
              <w:marLeft w:val="0"/>
              <w:marRight w:val="0"/>
              <w:marTop w:val="0"/>
              <w:marBottom w:val="0"/>
              <w:divBdr>
                <w:top w:val="none" w:sz="0" w:space="0" w:color="auto"/>
                <w:left w:val="none" w:sz="0" w:space="0" w:color="auto"/>
                <w:bottom w:val="none" w:sz="0" w:space="0" w:color="auto"/>
                <w:right w:val="none" w:sz="0" w:space="0" w:color="auto"/>
              </w:divBdr>
            </w:div>
            <w:div w:id="1816294493">
              <w:marLeft w:val="0"/>
              <w:marRight w:val="0"/>
              <w:marTop w:val="0"/>
              <w:marBottom w:val="0"/>
              <w:divBdr>
                <w:top w:val="none" w:sz="0" w:space="0" w:color="auto"/>
                <w:left w:val="none" w:sz="0" w:space="0" w:color="auto"/>
                <w:bottom w:val="none" w:sz="0" w:space="0" w:color="auto"/>
                <w:right w:val="none" w:sz="0" w:space="0" w:color="auto"/>
              </w:divBdr>
            </w:div>
            <w:div w:id="19484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0254">
      <w:bodyDiv w:val="1"/>
      <w:marLeft w:val="0"/>
      <w:marRight w:val="0"/>
      <w:marTop w:val="0"/>
      <w:marBottom w:val="0"/>
      <w:divBdr>
        <w:top w:val="none" w:sz="0" w:space="0" w:color="auto"/>
        <w:left w:val="none" w:sz="0" w:space="0" w:color="auto"/>
        <w:bottom w:val="none" w:sz="0" w:space="0" w:color="auto"/>
        <w:right w:val="none" w:sz="0" w:space="0" w:color="auto"/>
      </w:divBdr>
      <w:divsChild>
        <w:div w:id="492257741">
          <w:marLeft w:val="0"/>
          <w:marRight w:val="0"/>
          <w:marTop w:val="0"/>
          <w:marBottom w:val="0"/>
          <w:divBdr>
            <w:top w:val="none" w:sz="0" w:space="0" w:color="auto"/>
            <w:left w:val="none" w:sz="0" w:space="0" w:color="auto"/>
            <w:bottom w:val="none" w:sz="0" w:space="0" w:color="auto"/>
            <w:right w:val="none" w:sz="0" w:space="0" w:color="auto"/>
          </w:divBdr>
        </w:div>
        <w:div w:id="526259685">
          <w:marLeft w:val="0"/>
          <w:marRight w:val="0"/>
          <w:marTop w:val="0"/>
          <w:marBottom w:val="0"/>
          <w:divBdr>
            <w:top w:val="none" w:sz="0" w:space="0" w:color="auto"/>
            <w:left w:val="none" w:sz="0" w:space="0" w:color="auto"/>
            <w:bottom w:val="none" w:sz="0" w:space="0" w:color="auto"/>
            <w:right w:val="none" w:sz="0" w:space="0" w:color="auto"/>
          </w:divBdr>
        </w:div>
        <w:div w:id="955258725">
          <w:marLeft w:val="0"/>
          <w:marRight w:val="0"/>
          <w:marTop w:val="0"/>
          <w:marBottom w:val="0"/>
          <w:divBdr>
            <w:top w:val="none" w:sz="0" w:space="0" w:color="auto"/>
            <w:left w:val="none" w:sz="0" w:space="0" w:color="auto"/>
            <w:bottom w:val="none" w:sz="0" w:space="0" w:color="auto"/>
            <w:right w:val="none" w:sz="0" w:space="0" w:color="auto"/>
          </w:divBdr>
        </w:div>
        <w:div w:id="1039669650">
          <w:marLeft w:val="0"/>
          <w:marRight w:val="0"/>
          <w:marTop w:val="0"/>
          <w:marBottom w:val="0"/>
          <w:divBdr>
            <w:top w:val="none" w:sz="0" w:space="0" w:color="auto"/>
            <w:left w:val="none" w:sz="0" w:space="0" w:color="auto"/>
            <w:bottom w:val="none" w:sz="0" w:space="0" w:color="auto"/>
            <w:right w:val="none" w:sz="0" w:space="0" w:color="auto"/>
          </w:divBdr>
        </w:div>
        <w:div w:id="1862083871">
          <w:marLeft w:val="0"/>
          <w:marRight w:val="0"/>
          <w:marTop w:val="0"/>
          <w:marBottom w:val="0"/>
          <w:divBdr>
            <w:top w:val="none" w:sz="0" w:space="0" w:color="auto"/>
            <w:left w:val="none" w:sz="0" w:space="0" w:color="auto"/>
            <w:bottom w:val="none" w:sz="0" w:space="0" w:color="auto"/>
            <w:right w:val="none" w:sz="0" w:space="0" w:color="auto"/>
          </w:divBdr>
        </w:div>
        <w:div w:id="1931616224">
          <w:marLeft w:val="0"/>
          <w:marRight w:val="0"/>
          <w:marTop w:val="0"/>
          <w:marBottom w:val="0"/>
          <w:divBdr>
            <w:top w:val="none" w:sz="0" w:space="0" w:color="auto"/>
            <w:left w:val="none" w:sz="0" w:space="0" w:color="auto"/>
            <w:bottom w:val="none" w:sz="0" w:space="0" w:color="auto"/>
            <w:right w:val="none" w:sz="0" w:space="0" w:color="auto"/>
          </w:divBdr>
        </w:div>
        <w:div w:id="1990472881">
          <w:marLeft w:val="0"/>
          <w:marRight w:val="0"/>
          <w:marTop w:val="0"/>
          <w:marBottom w:val="0"/>
          <w:divBdr>
            <w:top w:val="none" w:sz="0" w:space="0" w:color="auto"/>
            <w:left w:val="none" w:sz="0" w:space="0" w:color="auto"/>
            <w:bottom w:val="none" w:sz="0" w:space="0" w:color="auto"/>
            <w:right w:val="none" w:sz="0" w:space="0" w:color="auto"/>
          </w:divBdr>
        </w:div>
        <w:div w:id="2017146213">
          <w:marLeft w:val="0"/>
          <w:marRight w:val="0"/>
          <w:marTop w:val="0"/>
          <w:marBottom w:val="0"/>
          <w:divBdr>
            <w:top w:val="none" w:sz="0" w:space="0" w:color="auto"/>
            <w:left w:val="none" w:sz="0" w:space="0" w:color="auto"/>
            <w:bottom w:val="none" w:sz="0" w:space="0" w:color="auto"/>
            <w:right w:val="none" w:sz="0" w:space="0" w:color="auto"/>
          </w:divBdr>
        </w:div>
        <w:div w:id="2070809579">
          <w:marLeft w:val="0"/>
          <w:marRight w:val="0"/>
          <w:marTop w:val="0"/>
          <w:marBottom w:val="0"/>
          <w:divBdr>
            <w:top w:val="none" w:sz="0" w:space="0" w:color="auto"/>
            <w:left w:val="none" w:sz="0" w:space="0" w:color="auto"/>
            <w:bottom w:val="none" w:sz="0" w:space="0" w:color="auto"/>
            <w:right w:val="none" w:sz="0" w:space="0" w:color="auto"/>
          </w:divBdr>
        </w:div>
      </w:divsChild>
    </w:div>
    <w:div w:id="1937010390">
      <w:bodyDiv w:val="1"/>
      <w:marLeft w:val="0"/>
      <w:marRight w:val="0"/>
      <w:marTop w:val="0"/>
      <w:marBottom w:val="0"/>
      <w:divBdr>
        <w:top w:val="none" w:sz="0" w:space="0" w:color="auto"/>
        <w:left w:val="none" w:sz="0" w:space="0" w:color="auto"/>
        <w:bottom w:val="none" w:sz="0" w:space="0" w:color="auto"/>
        <w:right w:val="none" w:sz="0" w:space="0" w:color="auto"/>
      </w:divBdr>
      <w:divsChild>
        <w:div w:id="809976268">
          <w:marLeft w:val="0"/>
          <w:marRight w:val="0"/>
          <w:marTop w:val="0"/>
          <w:marBottom w:val="0"/>
          <w:divBdr>
            <w:top w:val="none" w:sz="0" w:space="0" w:color="auto"/>
            <w:left w:val="none" w:sz="0" w:space="0" w:color="auto"/>
            <w:bottom w:val="none" w:sz="0" w:space="0" w:color="auto"/>
            <w:right w:val="none" w:sz="0" w:space="0" w:color="auto"/>
          </w:divBdr>
        </w:div>
        <w:div w:id="1358385486">
          <w:marLeft w:val="0"/>
          <w:marRight w:val="0"/>
          <w:marTop w:val="0"/>
          <w:marBottom w:val="0"/>
          <w:divBdr>
            <w:top w:val="none" w:sz="0" w:space="0" w:color="auto"/>
            <w:left w:val="none" w:sz="0" w:space="0" w:color="auto"/>
            <w:bottom w:val="none" w:sz="0" w:space="0" w:color="auto"/>
            <w:right w:val="none" w:sz="0" w:space="0" w:color="auto"/>
          </w:divBdr>
        </w:div>
        <w:div w:id="1487164182">
          <w:marLeft w:val="0"/>
          <w:marRight w:val="0"/>
          <w:marTop w:val="0"/>
          <w:marBottom w:val="0"/>
          <w:divBdr>
            <w:top w:val="none" w:sz="0" w:space="0" w:color="auto"/>
            <w:left w:val="none" w:sz="0" w:space="0" w:color="auto"/>
            <w:bottom w:val="none" w:sz="0" w:space="0" w:color="auto"/>
            <w:right w:val="none" w:sz="0" w:space="0" w:color="auto"/>
          </w:divBdr>
        </w:div>
        <w:div w:id="1958873872">
          <w:marLeft w:val="0"/>
          <w:marRight w:val="0"/>
          <w:marTop w:val="0"/>
          <w:marBottom w:val="0"/>
          <w:divBdr>
            <w:top w:val="none" w:sz="0" w:space="0" w:color="auto"/>
            <w:left w:val="none" w:sz="0" w:space="0" w:color="auto"/>
            <w:bottom w:val="none" w:sz="0" w:space="0" w:color="auto"/>
            <w:right w:val="none" w:sz="0" w:space="0" w:color="auto"/>
          </w:divBdr>
        </w:div>
      </w:divsChild>
    </w:div>
    <w:div w:id="1942489513">
      <w:bodyDiv w:val="1"/>
      <w:marLeft w:val="0"/>
      <w:marRight w:val="0"/>
      <w:marTop w:val="0"/>
      <w:marBottom w:val="0"/>
      <w:divBdr>
        <w:top w:val="none" w:sz="0" w:space="0" w:color="auto"/>
        <w:left w:val="none" w:sz="0" w:space="0" w:color="auto"/>
        <w:bottom w:val="none" w:sz="0" w:space="0" w:color="auto"/>
        <w:right w:val="none" w:sz="0" w:space="0" w:color="auto"/>
      </w:divBdr>
      <w:divsChild>
        <w:div w:id="87778115">
          <w:marLeft w:val="0"/>
          <w:marRight w:val="0"/>
          <w:marTop w:val="0"/>
          <w:marBottom w:val="0"/>
          <w:divBdr>
            <w:top w:val="none" w:sz="0" w:space="0" w:color="auto"/>
            <w:left w:val="none" w:sz="0" w:space="0" w:color="auto"/>
            <w:bottom w:val="none" w:sz="0" w:space="0" w:color="auto"/>
            <w:right w:val="none" w:sz="0" w:space="0" w:color="auto"/>
          </w:divBdr>
        </w:div>
        <w:div w:id="654647114">
          <w:marLeft w:val="0"/>
          <w:marRight w:val="0"/>
          <w:marTop w:val="0"/>
          <w:marBottom w:val="0"/>
          <w:divBdr>
            <w:top w:val="none" w:sz="0" w:space="0" w:color="auto"/>
            <w:left w:val="none" w:sz="0" w:space="0" w:color="auto"/>
            <w:bottom w:val="none" w:sz="0" w:space="0" w:color="auto"/>
            <w:right w:val="none" w:sz="0" w:space="0" w:color="auto"/>
          </w:divBdr>
        </w:div>
        <w:div w:id="667749830">
          <w:marLeft w:val="0"/>
          <w:marRight w:val="0"/>
          <w:marTop w:val="0"/>
          <w:marBottom w:val="0"/>
          <w:divBdr>
            <w:top w:val="none" w:sz="0" w:space="0" w:color="auto"/>
            <w:left w:val="none" w:sz="0" w:space="0" w:color="auto"/>
            <w:bottom w:val="none" w:sz="0" w:space="0" w:color="auto"/>
            <w:right w:val="none" w:sz="0" w:space="0" w:color="auto"/>
          </w:divBdr>
        </w:div>
        <w:div w:id="881286991">
          <w:marLeft w:val="0"/>
          <w:marRight w:val="0"/>
          <w:marTop w:val="0"/>
          <w:marBottom w:val="0"/>
          <w:divBdr>
            <w:top w:val="none" w:sz="0" w:space="0" w:color="auto"/>
            <w:left w:val="none" w:sz="0" w:space="0" w:color="auto"/>
            <w:bottom w:val="none" w:sz="0" w:space="0" w:color="auto"/>
            <w:right w:val="none" w:sz="0" w:space="0" w:color="auto"/>
          </w:divBdr>
        </w:div>
        <w:div w:id="2005009516">
          <w:marLeft w:val="0"/>
          <w:marRight w:val="0"/>
          <w:marTop w:val="0"/>
          <w:marBottom w:val="0"/>
          <w:divBdr>
            <w:top w:val="none" w:sz="0" w:space="0" w:color="auto"/>
            <w:left w:val="none" w:sz="0" w:space="0" w:color="auto"/>
            <w:bottom w:val="none" w:sz="0" w:space="0" w:color="auto"/>
            <w:right w:val="none" w:sz="0" w:space="0" w:color="auto"/>
          </w:divBdr>
        </w:div>
        <w:div w:id="2065256060">
          <w:marLeft w:val="0"/>
          <w:marRight w:val="0"/>
          <w:marTop w:val="0"/>
          <w:marBottom w:val="0"/>
          <w:divBdr>
            <w:top w:val="none" w:sz="0" w:space="0" w:color="auto"/>
            <w:left w:val="none" w:sz="0" w:space="0" w:color="auto"/>
            <w:bottom w:val="none" w:sz="0" w:space="0" w:color="auto"/>
            <w:right w:val="none" w:sz="0" w:space="0" w:color="auto"/>
          </w:divBdr>
        </w:div>
        <w:div w:id="2086954419">
          <w:marLeft w:val="0"/>
          <w:marRight w:val="0"/>
          <w:marTop w:val="0"/>
          <w:marBottom w:val="0"/>
          <w:divBdr>
            <w:top w:val="none" w:sz="0" w:space="0" w:color="auto"/>
            <w:left w:val="none" w:sz="0" w:space="0" w:color="auto"/>
            <w:bottom w:val="none" w:sz="0" w:space="0" w:color="auto"/>
            <w:right w:val="none" w:sz="0" w:space="0" w:color="auto"/>
          </w:divBdr>
        </w:div>
      </w:divsChild>
    </w:div>
    <w:div w:id="1944418717">
      <w:bodyDiv w:val="1"/>
      <w:marLeft w:val="0"/>
      <w:marRight w:val="0"/>
      <w:marTop w:val="0"/>
      <w:marBottom w:val="0"/>
      <w:divBdr>
        <w:top w:val="none" w:sz="0" w:space="0" w:color="auto"/>
        <w:left w:val="none" w:sz="0" w:space="0" w:color="auto"/>
        <w:bottom w:val="none" w:sz="0" w:space="0" w:color="auto"/>
        <w:right w:val="none" w:sz="0" w:space="0" w:color="auto"/>
      </w:divBdr>
      <w:divsChild>
        <w:div w:id="162743117">
          <w:marLeft w:val="0"/>
          <w:marRight w:val="0"/>
          <w:marTop w:val="0"/>
          <w:marBottom w:val="0"/>
          <w:divBdr>
            <w:top w:val="none" w:sz="0" w:space="0" w:color="auto"/>
            <w:left w:val="none" w:sz="0" w:space="0" w:color="auto"/>
            <w:bottom w:val="none" w:sz="0" w:space="0" w:color="auto"/>
            <w:right w:val="none" w:sz="0" w:space="0" w:color="auto"/>
          </w:divBdr>
        </w:div>
        <w:div w:id="902641793">
          <w:marLeft w:val="0"/>
          <w:marRight w:val="0"/>
          <w:marTop w:val="0"/>
          <w:marBottom w:val="0"/>
          <w:divBdr>
            <w:top w:val="none" w:sz="0" w:space="0" w:color="auto"/>
            <w:left w:val="none" w:sz="0" w:space="0" w:color="auto"/>
            <w:bottom w:val="none" w:sz="0" w:space="0" w:color="auto"/>
            <w:right w:val="none" w:sz="0" w:space="0" w:color="auto"/>
          </w:divBdr>
        </w:div>
        <w:div w:id="1190870244">
          <w:marLeft w:val="0"/>
          <w:marRight w:val="0"/>
          <w:marTop w:val="0"/>
          <w:marBottom w:val="0"/>
          <w:divBdr>
            <w:top w:val="none" w:sz="0" w:space="0" w:color="auto"/>
            <w:left w:val="none" w:sz="0" w:space="0" w:color="auto"/>
            <w:bottom w:val="none" w:sz="0" w:space="0" w:color="auto"/>
            <w:right w:val="none" w:sz="0" w:space="0" w:color="auto"/>
          </w:divBdr>
        </w:div>
        <w:div w:id="1268974067">
          <w:marLeft w:val="0"/>
          <w:marRight w:val="0"/>
          <w:marTop w:val="0"/>
          <w:marBottom w:val="0"/>
          <w:divBdr>
            <w:top w:val="none" w:sz="0" w:space="0" w:color="auto"/>
            <w:left w:val="none" w:sz="0" w:space="0" w:color="auto"/>
            <w:bottom w:val="none" w:sz="0" w:space="0" w:color="auto"/>
            <w:right w:val="none" w:sz="0" w:space="0" w:color="auto"/>
          </w:divBdr>
        </w:div>
        <w:div w:id="1288509154">
          <w:marLeft w:val="0"/>
          <w:marRight w:val="0"/>
          <w:marTop w:val="0"/>
          <w:marBottom w:val="0"/>
          <w:divBdr>
            <w:top w:val="none" w:sz="0" w:space="0" w:color="auto"/>
            <w:left w:val="none" w:sz="0" w:space="0" w:color="auto"/>
            <w:bottom w:val="none" w:sz="0" w:space="0" w:color="auto"/>
            <w:right w:val="none" w:sz="0" w:space="0" w:color="auto"/>
          </w:divBdr>
        </w:div>
        <w:div w:id="1422331581">
          <w:marLeft w:val="0"/>
          <w:marRight w:val="0"/>
          <w:marTop w:val="0"/>
          <w:marBottom w:val="0"/>
          <w:divBdr>
            <w:top w:val="none" w:sz="0" w:space="0" w:color="auto"/>
            <w:left w:val="none" w:sz="0" w:space="0" w:color="auto"/>
            <w:bottom w:val="none" w:sz="0" w:space="0" w:color="auto"/>
            <w:right w:val="none" w:sz="0" w:space="0" w:color="auto"/>
          </w:divBdr>
        </w:div>
        <w:div w:id="1711608885">
          <w:marLeft w:val="0"/>
          <w:marRight w:val="0"/>
          <w:marTop w:val="0"/>
          <w:marBottom w:val="0"/>
          <w:divBdr>
            <w:top w:val="none" w:sz="0" w:space="0" w:color="auto"/>
            <w:left w:val="none" w:sz="0" w:space="0" w:color="auto"/>
            <w:bottom w:val="none" w:sz="0" w:space="0" w:color="auto"/>
            <w:right w:val="none" w:sz="0" w:space="0" w:color="auto"/>
          </w:divBdr>
        </w:div>
        <w:div w:id="2075662602">
          <w:marLeft w:val="0"/>
          <w:marRight w:val="0"/>
          <w:marTop w:val="0"/>
          <w:marBottom w:val="0"/>
          <w:divBdr>
            <w:top w:val="none" w:sz="0" w:space="0" w:color="auto"/>
            <w:left w:val="none" w:sz="0" w:space="0" w:color="auto"/>
            <w:bottom w:val="none" w:sz="0" w:space="0" w:color="auto"/>
            <w:right w:val="none" w:sz="0" w:space="0" w:color="auto"/>
          </w:divBdr>
        </w:div>
      </w:divsChild>
    </w:div>
    <w:div w:id="1982341000">
      <w:bodyDiv w:val="1"/>
      <w:marLeft w:val="0"/>
      <w:marRight w:val="0"/>
      <w:marTop w:val="0"/>
      <w:marBottom w:val="0"/>
      <w:divBdr>
        <w:top w:val="none" w:sz="0" w:space="0" w:color="auto"/>
        <w:left w:val="none" w:sz="0" w:space="0" w:color="auto"/>
        <w:bottom w:val="none" w:sz="0" w:space="0" w:color="auto"/>
        <w:right w:val="none" w:sz="0" w:space="0" w:color="auto"/>
      </w:divBdr>
      <w:divsChild>
        <w:div w:id="864370241">
          <w:marLeft w:val="0"/>
          <w:marRight w:val="0"/>
          <w:marTop w:val="0"/>
          <w:marBottom w:val="0"/>
          <w:divBdr>
            <w:top w:val="none" w:sz="0" w:space="0" w:color="auto"/>
            <w:left w:val="none" w:sz="0" w:space="0" w:color="auto"/>
            <w:bottom w:val="none" w:sz="0" w:space="0" w:color="auto"/>
            <w:right w:val="none" w:sz="0" w:space="0" w:color="auto"/>
          </w:divBdr>
        </w:div>
        <w:div w:id="1507744661">
          <w:marLeft w:val="0"/>
          <w:marRight w:val="0"/>
          <w:marTop w:val="0"/>
          <w:marBottom w:val="0"/>
          <w:divBdr>
            <w:top w:val="none" w:sz="0" w:space="0" w:color="auto"/>
            <w:left w:val="none" w:sz="0" w:space="0" w:color="auto"/>
            <w:bottom w:val="none" w:sz="0" w:space="0" w:color="auto"/>
            <w:right w:val="none" w:sz="0" w:space="0" w:color="auto"/>
          </w:divBdr>
        </w:div>
        <w:div w:id="1574049335">
          <w:marLeft w:val="0"/>
          <w:marRight w:val="0"/>
          <w:marTop w:val="0"/>
          <w:marBottom w:val="0"/>
          <w:divBdr>
            <w:top w:val="none" w:sz="0" w:space="0" w:color="auto"/>
            <w:left w:val="none" w:sz="0" w:space="0" w:color="auto"/>
            <w:bottom w:val="none" w:sz="0" w:space="0" w:color="auto"/>
            <w:right w:val="none" w:sz="0" w:space="0" w:color="auto"/>
          </w:divBdr>
        </w:div>
        <w:div w:id="1927613319">
          <w:marLeft w:val="0"/>
          <w:marRight w:val="0"/>
          <w:marTop w:val="0"/>
          <w:marBottom w:val="0"/>
          <w:divBdr>
            <w:top w:val="none" w:sz="0" w:space="0" w:color="auto"/>
            <w:left w:val="none" w:sz="0" w:space="0" w:color="auto"/>
            <w:bottom w:val="none" w:sz="0" w:space="0" w:color="auto"/>
            <w:right w:val="none" w:sz="0" w:space="0" w:color="auto"/>
          </w:divBdr>
        </w:div>
        <w:div w:id="2137331283">
          <w:marLeft w:val="0"/>
          <w:marRight w:val="0"/>
          <w:marTop w:val="0"/>
          <w:marBottom w:val="0"/>
          <w:divBdr>
            <w:top w:val="none" w:sz="0" w:space="0" w:color="auto"/>
            <w:left w:val="none" w:sz="0" w:space="0" w:color="auto"/>
            <w:bottom w:val="none" w:sz="0" w:space="0" w:color="auto"/>
            <w:right w:val="none" w:sz="0" w:space="0" w:color="auto"/>
          </w:divBdr>
        </w:div>
      </w:divsChild>
    </w:div>
    <w:div w:id="1984893848">
      <w:bodyDiv w:val="1"/>
      <w:marLeft w:val="0"/>
      <w:marRight w:val="0"/>
      <w:marTop w:val="0"/>
      <w:marBottom w:val="0"/>
      <w:divBdr>
        <w:top w:val="none" w:sz="0" w:space="0" w:color="auto"/>
        <w:left w:val="none" w:sz="0" w:space="0" w:color="auto"/>
        <w:bottom w:val="none" w:sz="0" w:space="0" w:color="auto"/>
        <w:right w:val="none" w:sz="0" w:space="0" w:color="auto"/>
      </w:divBdr>
      <w:divsChild>
        <w:div w:id="279995086">
          <w:marLeft w:val="0"/>
          <w:marRight w:val="0"/>
          <w:marTop w:val="0"/>
          <w:marBottom w:val="0"/>
          <w:divBdr>
            <w:top w:val="none" w:sz="0" w:space="0" w:color="auto"/>
            <w:left w:val="none" w:sz="0" w:space="0" w:color="auto"/>
            <w:bottom w:val="none" w:sz="0" w:space="0" w:color="auto"/>
            <w:right w:val="none" w:sz="0" w:space="0" w:color="auto"/>
          </w:divBdr>
        </w:div>
        <w:div w:id="348918698">
          <w:marLeft w:val="0"/>
          <w:marRight w:val="0"/>
          <w:marTop w:val="0"/>
          <w:marBottom w:val="0"/>
          <w:divBdr>
            <w:top w:val="none" w:sz="0" w:space="0" w:color="auto"/>
            <w:left w:val="none" w:sz="0" w:space="0" w:color="auto"/>
            <w:bottom w:val="none" w:sz="0" w:space="0" w:color="auto"/>
            <w:right w:val="none" w:sz="0" w:space="0" w:color="auto"/>
          </w:divBdr>
          <w:divsChild>
            <w:div w:id="68236674">
              <w:marLeft w:val="0"/>
              <w:marRight w:val="0"/>
              <w:marTop w:val="0"/>
              <w:marBottom w:val="0"/>
              <w:divBdr>
                <w:top w:val="none" w:sz="0" w:space="0" w:color="auto"/>
                <w:left w:val="none" w:sz="0" w:space="0" w:color="auto"/>
                <w:bottom w:val="none" w:sz="0" w:space="0" w:color="auto"/>
                <w:right w:val="none" w:sz="0" w:space="0" w:color="auto"/>
              </w:divBdr>
            </w:div>
            <w:div w:id="68892374">
              <w:marLeft w:val="0"/>
              <w:marRight w:val="0"/>
              <w:marTop w:val="0"/>
              <w:marBottom w:val="0"/>
              <w:divBdr>
                <w:top w:val="none" w:sz="0" w:space="0" w:color="auto"/>
                <w:left w:val="none" w:sz="0" w:space="0" w:color="auto"/>
                <w:bottom w:val="none" w:sz="0" w:space="0" w:color="auto"/>
                <w:right w:val="none" w:sz="0" w:space="0" w:color="auto"/>
              </w:divBdr>
            </w:div>
            <w:div w:id="644092157">
              <w:marLeft w:val="0"/>
              <w:marRight w:val="0"/>
              <w:marTop w:val="0"/>
              <w:marBottom w:val="0"/>
              <w:divBdr>
                <w:top w:val="none" w:sz="0" w:space="0" w:color="auto"/>
                <w:left w:val="none" w:sz="0" w:space="0" w:color="auto"/>
                <w:bottom w:val="none" w:sz="0" w:space="0" w:color="auto"/>
                <w:right w:val="none" w:sz="0" w:space="0" w:color="auto"/>
              </w:divBdr>
            </w:div>
            <w:div w:id="944506440">
              <w:marLeft w:val="0"/>
              <w:marRight w:val="0"/>
              <w:marTop w:val="0"/>
              <w:marBottom w:val="0"/>
              <w:divBdr>
                <w:top w:val="none" w:sz="0" w:space="0" w:color="auto"/>
                <w:left w:val="none" w:sz="0" w:space="0" w:color="auto"/>
                <w:bottom w:val="none" w:sz="0" w:space="0" w:color="auto"/>
                <w:right w:val="none" w:sz="0" w:space="0" w:color="auto"/>
              </w:divBdr>
            </w:div>
            <w:div w:id="1011758721">
              <w:marLeft w:val="0"/>
              <w:marRight w:val="0"/>
              <w:marTop w:val="0"/>
              <w:marBottom w:val="0"/>
              <w:divBdr>
                <w:top w:val="none" w:sz="0" w:space="0" w:color="auto"/>
                <w:left w:val="none" w:sz="0" w:space="0" w:color="auto"/>
                <w:bottom w:val="none" w:sz="0" w:space="0" w:color="auto"/>
                <w:right w:val="none" w:sz="0" w:space="0" w:color="auto"/>
              </w:divBdr>
            </w:div>
            <w:div w:id="1416395124">
              <w:marLeft w:val="0"/>
              <w:marRight w:val="0"/>
              <w:marTop w:val="0"/>
              <w:marBottom w:val="0"/>
              <w:divBdr>
                <w:top w:val="none" w:sz="0" w:space="0" w:color="auto"/>
                <w:left w:val="none" w:sz="0" w:space="0" w:color="auto"/>
                <w:bottom w:val="none" w:sz="0" w:space="0" w:color="auto"/>
                <w:right w:val="none" w:sz="0" w:space="0" w:color="auto"/>
              </w:divBdr>
            </w:div>
            <w:div w:id="1904900453">
              <w:marLeft w:val="0"/>
              <w:marRight w:val="0"/>
              <w:marTop w:val="0"/>
              <w:marBottom w:val="0"/>
              <w:divBdr>
                <w:top w:val="none" w:sz="0" w:space="0" w:color="auto"/>
                <w:left w:val="none" w:sz="0" w:space="0" w:color="auto"/>
                <w:bottom w:val="none" w:sz="0" w:space="0" w:color="auto"/>
                <w:right w:val="none" w:sz="0" w:space="0" w:color="auto"/>
              </w:divBdr>
            </w:div>
          </w:divsChild>
        </w:div>
        <w:div w:id="1342198133">
          <w:marLeft w:val="0"/>
          <w:marRight w:val="0"/>
          <w:marTop w:val="0"/>
          <w:marBottom w:val="0"/>
          <w:divBdr>
            <w:top w:val="none" w:sz="0" w:space="0" w:color="auto"/>
            <w:left w:val="none" w:sz="0" w:space="0" w:color="auto"/>
            <w:bottom w:val="none" w:sz="0" w:space="0" w:color="auto"/>
            <w:right w:val="none" w:sz="0" w:space="0" w:color="auto"/>
          </w:divBdr>
        </w:div>
      </w:divsChild>
    </w:div>
    <w:div w:id="2001037940">
      <w:bodyDiv w:val="1"/>
      <w:marLeft w:val="0"/>
      <w:marRight w:val="0"/>
      <w:marTop w:val="0"/>
      <w:marBottom w:val="0"/>
      <w:divBdr>
        <w:top w:val="none" w:sz="0" w:space="0" w:color="auto"/>
        <w:left w:val="none" w:sz="0" w:space="0" w:color="auto"/>
        <w:bottom w:val="none" w:sz="0" w:space="0" w:color="auto"/>
        <w:right w:val="none" w:sz="0" w:space="0" w:color="auto"/>
      </w:divBdr>
      <w:divsChild>
        <w:div w:id="440687884">
          <w:marLeft w:val="0"/>
          <w:marRight w:val="0"/>
          <w:marTop w:val="0"/>
          <w:marBottom w:val="0"/>
          <w:divBdr>
            <w:top w:val="none" w:sz="0" w:space="0" w:color="auto"/>
            <w:left w:val="none" w:sz="0" w:space="0" w:color="auto"/>
            <w:bottom w:val="none" w:sz="0" w:space="0" w:color="auto"/>
            <w:right w:val="none" w:sz="0" w:space="0" w:color="auto"/>
          </w:divBdr>
        </w:div>
        <w:div w:id="518011107">
          <w:marLeft w:val="0"/>
          <w:marRight w:val="0"/>
          <w:marTop w:val="0"/>
          <w:marBottom w:val="0"/>
          <w:divBdr>
            <w:top w:val="none" w:sz="0" w:space="0" w:color="auto"/>
            <w:left w:val="none" w:sz="0" w:space="0" w:color="auto"/>
            <w:bottom w:val="none" w:sz="0" w:space="0" w:color="auto"/>
            <w:right w:val="none" w:sz="0" w:space="0" w:color="auto"/>
          </w:divBdr>
        </w:div>
        <w:div w:id="950824938">
          <w:marLeft w:val="0"/>
          <w:marRight w:val="0"/>
          <w:marTop w:val="0"/>
          <w:marBottom w:val="0"/>
          <w:divBdr>
            <w:top w:val="none" w:sz="0" w:space="0" w:color="auto"/>
            <w:left w:val="none" w:sz="0" w:space="0" w:color="auto"/>
            <w:bottom w:val="none" w:sz="0" w:space="0" w:color="auto"/>
            <w:right w:val="none" w:sz="0" w:space="0" w:color="auto"/>
          </w:divBdr>
        </w:div>
        <w:div w:id="1011032981">
          <w:marLeft w:val="0"/>
          <w:marRight w:val="0"/>
          <w:marTop w:val="0"/>
          <w:marBottom w:val="0"/>
          <w:divBdr>
            <w:top w:val="none" w:sz="0" w:space="0" w:color="auto"/>
            <w:left w:val="none" w:sz="0" w:space="0" w:color="auto"/>
            <w:bottom w:val="none" w:sz="0" w:space="0" w:color="auto"/>
            <w:right w:val="none" w:sz="0" w:space="0" w:color="auto"/>
          </w:divBdr>
        </w:div>
        <w:div w:id="1279217701">
          <w:marLeft w:val="0"/>
          <w:marRight w:val="0"/>
          <w:marTop w:val="0"/>
          <w:marBottom w:val="0"/>
          <w:divBdr>
            <w:top w:val="none" w:sz="0" w:space="0" w:color="auto"/>
            <w:left w:val="none" w:sz="0" w:space="0" w:color="auto"/>
            <w:bottom w:val="none" w:sz="0" w:space="0" w:color="auto"/>
            <w:right w:val="none" w:sz="0" w:space="0" w:color="auto"/>
          </w:divBdr>
        </w:div>
        <w:div w:id="2090610366">
          <w:marLeft w:val="0"/>
          <w:marRight w:val="0"/>
          <w:marTop w:val="0"/>
          <w:marBottom w:val="0"/>
          <w:divBdr>
            <w:top w:val="none" w:sz="0" w:space="0" w:color="auto"/>
            <w:left w:val="none" w:sz="0" w:space="0" w:color="auto"/>
            <w:bottom w:val="none" w:sz="0" w:space="0" w:color="auto"/>
            <w:right w:val="none" w:sz="0" w:space="0" w:color="auto"/>
          </w:divBdr>
        </w:div>
      </w:divsChild>
    </w:div>
    <w:div w:id="2010448857">
      <w:bodyDiv w:val="1"/>
      <w:marLeft w:val="0"/>
      <w:marRight w:val="0"/>
      <w:marTop w:val="0"/>
      <w:marBottom w:val="0"/>
      <w:divBdr>
        <w:top w:val="none" w:sz="0" w:space="0" w:color="auto"/>
        <w:left w:val="none" w:sz="0" w:space="0" w:color="auto"/>
        <w:bottom w:val="none" w:sz="0" w:space="0" w:color="auto"/>
        <w:right w:val="none" w:sz="0" w:space="0" w:color="auto"/>
      </w:divBdr>
      <w:divsChild>
        <w:div w:id="153185373">
          <w:marLeft w:val="0"/>
          <w:marRight w:val="0"/>
          <w:marTop w:val="0"/>
          <w:marBottom w:val="0"/>
          <w:divBdr>
            <w:top w:val="none" w:sz="0" w:space="0" w:color="auto"/>
            <w:left w:val="none" w:sz="0" w:space="0" w:color="auto"/>
            <w:bottom w:val="none" w:sz="0" w:space="0" w:color="auto"/>
            <w:right w:val="none" w:sz="0" w:space="0" w:color="auto"/>
          </w:divBdr>
        </w:div>
        <w:div w:id="346251761">
          <w:marLeft w:val="0"/>
          <w:marRight w:val="0"/>
          <w:marTop w:val="0"/>
          <w:marBottom w:val="0"/>
          <w:divBdr>
            <w:top w:val="none" w:sz="0" w:space="0" w:color="auto"/>
            <w:left w:val="none" w:sz="0" w:space="0" w:color="auto"/>
            <w:bottom w:val="none" w:sz="0" w:space="0" w:color="auto"/>
            <w:right w:val="none" w:sz="0" w:space="0" w:color="auto"/>
          </w:divBdr>
        </w:div>
        <w:div w:id="814564302">
          <w:marLeft w:val="0"/>
          <w:marRight w:val="0"/>
          <w:marTop w:val="0"/>
          <w:marBottom w:val="0"/>
          <w:divBdr>
            <w:top w:val="none" w:sz="0" w:space="0" w:color="auto"/>
            <w:left w:val="none" w:sz="0" w:space="0" w:color="auto"/>
            <w:bottom w:val="none" w:sz="0" w:space="0" w:color="auto"/>
            <w:right w:val="none" w:sz="0" w:space="0" w:color="auto"/>
          </w:divBdr>
        </w:div>
        <w:div w:id="893586918">
          <w:marLeft w:val="0"/>
          <w:marRight w:val="0"/>
          <w:marTop w:val="0"/>
          <w:marBottom w:val="0"/>
          <w:divBdr>
            <w:top w:val="none" w:sz="0" w:space="0" w:color="auto"/>
            <w:left w:val="none" w:sz="0" w:space="0" w:color="auto"/>
            <w:bottom w:val="none" w:sz="0" w:space="0" w:color="auto"/>
            <w:right w:val="none" w:sz="0" w:space="0" w:color="auto"/>
          </w:divBdr>
        </w:div>
        <w:div w:id="1307248850">
          <w:marLeft w:val="0"/>
          <w:marRight w:val="0"/>
          <w:marTop w:val="0"/>
          <w:marBottom w:val="0"/>
          <w:divBdr>
            <w:top w:val="none" w:sz="0" w:space="0" w:color="auto"/>
            <w:left w:val="none" w:sz="0" w:space="0" w:color="auto"/>
            <w:bottom w:val="none" w:sz="0" w:space="0" w:color="auto"/>
            <w:right w:val="none" w:sz="0" w:space="0" w:color="auto"/>
          </w:divBdr>
        </w:div>
        <w:div w:id="1383360536">
          <w:marLeft w:val="0"/>
          <w:marRight w:val="0"/>
          <w:marTop w:val="0"/>
          <w:marBottom w:val="0"/>
          <w:divBdr>
            <w:top w:val="none" w:sz="0" w:space="0" w:color="auto"/>
            <w:left w:val="none" w:sz="0" w:space="0" w:color="auto"/>
            <w:bottom w:val="none" w:sz="0" w:space="0" w:color="auto"/>
            <w:right w:val="none" w:sz="0" w:space="0" w:color="auto"/>
          </w:divBdr>
        </w:div>
        <w:div w:id="1735855522">
          <w:marLeft w:val="0"/>
          <w:marRight w:val="0"/>
          <w:marTop w:val="0"/>
          <w:marBottom w:val="0"/>
          <w:divBdr>
            <w:top w:val="none" w:sz="0" w:space="0" w:color="auto"/>
            <w:left w:val="none" w:sz="0" w:space="0" w:color="auto"/>
            <w:bottom w:val="none" w:sz="0" w:space="0" w:color="auto"/>
            <w:right w:val="none" w:sz="0" w:space="0" w:color="auto"/>
          </w:divBdr>
        </w:div>
      </w:divsChild>
    </w:div>
    <w:div w:id="2027631249">
      <w:bodyDiv w:val="1"/>
      <w:marLeft w:val="0"/>
      <w:marRight w:val="0"/>
      <w:marTop w:val="0"/>
      <w:marBottom w:val="0"/>
      <w:divBdr>
        <w:top w:val="none" w:sz="0" w:space="0" w:color="auto"/>
        <w:left w:val="none" w:sz="0" w:space="0" w:color="auto"/>
        <w:bottom w:val="none" w:sz="0" w:space="0" w:color="auto"/>
        <w:right w:val="none" w:sz="0" w:space="0" w:color="auto"/>
      </w:divBdr>
      <w:divsChild>
        <w:div w:id="302345113">
          <w:marLeft w:val="0"/>
          <w:marRight w:val="0"/>
          <w:marTop w:val="0"/>
          <w:marBottom w:val="0"/>
          <w:divBdr>
            <w:top w:val="none" w:sz="0" w:space="0" w:color="auto"/>
            <w:left w:val="none" w:sz="0" w:space="0" w:color="auto"/>
            <w:bottom w:val="none" w:sz="0" w:space="0" w:color="auto"/>
            <w:right w:val="none" w:sz="0" w:space="0" w:color="auto"/>
          </w:divBdr>
        </w:div>
        <w:div w:id="599990357">
          <w:marLeft w:val="0"/>
          <w:marRight w:val="0"/>
          <w:marTop w:val="0"/>
          <w:marBottom w:val="0"/>
          <w:divBdr>
            <w:top w:val="none" w:sz="0" w:space="0" w:color="auto"/>
            <w:left w:val="none" w:sz="0" w:space="0" w:color="auto"/>
            <w:bottom w:val="none" w:sz="0" w:space="0" w:color="auto"/>
            <w:right w:val="none" w:sz="0" w:space="0" w:color="auto"/>
          </w:divBdr>
        </w:div>
        <w:div w:id="847255851">
          <w:marLeft w:val="0"/>
          <w:marRight w:val="0"/>
          <w:marTop w:val="0"/>
          <w:marBottom w:val="0"/>
          <w:divBdr>
            <w:top w:val="none" w:sz="0" w:space="0" w:color="auto"/>
            <w:left w:val="none" w:sz="0" w:space="0" w:color="auto"/>
            <w:bottom w:val="none" w:sz="0" w:space="0" w:color="auto"/>
            <w:right w:val="none" w:sz="0" w:space="0" w:color="auto"/>
          </w:divBdr>
        </w:div>
        <w:div w:id="956448075">
          <w:marLeft w:val="0"/>
          <w:marRight w:val="0"/>
          <w:marTop w:val="0"/>
          <w:marBottom w:val="0"/>
          <w:divBdr>
            <w:top w:val="none" w:sz="0" w:space="0" w:color="auto"/>
            <w:left w:val="none" w:sz="0" w:space="0" w:color="auto"/>
            <w:bottom w:val="none" w:sz="0" w:space="0" w:color="auto"/>
            <w:right w:val="none" w:sz="0" w:space="0" w:color="auto"/>
          </w:divBdr>
        </w:div>
        <w:div w:id="1845198631">
          <w:marLeft w:val="0"/>
          <w:marRight w:val="0"/>
          <w:marTop w:val="0"/>
          <w:marBottom w:val="0"/>
          <w:divBdr>
            <w:top w:val="none" w:sz="0" w:space="0" w:color="auto"/>
            <w:left w:val="none" w:sz="0" w:space="0" w:color="auto"/>
            <w:bottom w:val="none" w:sz="0" w:space="0" w:color="auto"/>
            <w:right w:val="none" w:sz="0" w:space="0" w:color="auto"/>
          </w:divBdr>
        </w:div>
      </w:divsChild>
    </w:div>
    <w:div w:id="2032607738">
      <w:bodyDiv w:val="1"/>
      <w:marLeft w:val="0"/>
      <w:marRight w:val="0"/>
      <w:marTop w:val="0"/>
      <w:marBottom w:val="0"/>
      <w:divBdr>
        <w:top w:val="none" w:sz="0" w:space="0" w:color="auto"/>
        <w:left w:val="none" w:sz="0" w:space="0" w:color="auto"/>
        <w:bottom w:val="none" w:sz="0" w:space="0" w:color="auto"/>
        <w:right w:val="none" w:sz="0" w:space="0" w:color="auto"/>
      </w:divBdr>
      <w:divsChild>
        <w:div w:id="592399984">
          <w:marLeft w:val="0"/>
          <w:marRight w:val="0"/>
          <w:marTop w:val="0"/>
          <w:marBottom w:val="0"/>
          <w:divBdr>
            <w:top w:val="none" w:sz="0" w:space="0" w:color="auto"/>
            <w:left w:val="none" w:sz="0" w:space="0" w:color="auto"/>
            <w:bottom w:val="none" w:sz="0" w:space="0" w:color="auto"/>
            <w:right w:val="none" w:sz="0" w:space="0" w:color="auto"/>
          </w:divBdr>
        </w:div>
        <w:div w:id="1299264273">
          <w:marLeft w:val="0"/>
          <w:marRight w:val="0"/>
          <w:marTop w:val="0"/>
          <w:marBottom w:val="0"/>
          <w:divBdr>
            <w:top w:val="none" w:sz="0" w:space="0" w:color="auto"/>
            <w:left w:val="none" w:sz="0" w:space="0" w:color="auto"/>
            <w:bottom w:val="none" w:sz="0" w:space="0" w:color="auto"/>
            <w:right w:val="none" w:sz="0" w:space="0" w:color="auto"/>
          </w:divBdr>
        </w:div>
        <w:div w:id="1338119192">
          <w:marLeft w:val="0"/>
          <w:marRight w:val="0"/>
          <w:marTop w:val="0"/>
          <w:marBottom w:val="0"/>
          <w:divBdr>
            <w:top w:val="none" w:sz="0" w:space="0" w:color="auto"/>
            <w:left w:val="none" w:sz="0" w:space="0" w:color="auto"/>
            <w:bottom w:val="none" w:sz="0" w:space="0" w:color="auto"/>
            <w:right w:val="none" w:sz="0" w:space="0" w:color="auto"/>
          </w:divBdr>
        </w:div>
        <w:div w:id="2022512154">
          <w:marLeft w:val="0"/>
          <w:marRight w:val="0"/>
          <w:marTop w:val="0"/>
          <w:marBottom w:val="0"/>
          <w:divBdr>
            <w:top w:val="none" w:sz="0" w:space="0" w:color="auto"/>
            <w:left w:val="none" w:sz="0" w:space="0" w:color="auto"/>
            <w:bottom w:val="none" w:sz="0" w:space="0" w:color="auto"/>
            <w:right w:val="none" w:sz="0" w:space="0" w:color="auto"/>
          </w:divBdr>
        </w:div>
        <w:div w:id="2078357754">
          <w:marLeft w:val="0"/>
          <w:marRight w:val="0"/>
          <w:marTop w:val="0"/>
          <w:marBottom w:val="0"/>
          <w:divBdr>
            <w:top w:val="none" w:sz="0" w:space="0" w:color="auto"/>
            <w:left w:val="none" w:sz="0" w:space="0" w:color="auto"/>
            <w:bottom w:val="none" w:sz="0" w:space="0" w:color="auto"/>
            <w:right w:val="none" w:sz="0" w:space="0" w:color="auto"/>
          </w:divBdr>
        </w:div>
      </w:divsChild>
    </w:div>
    <w:div w:id="2046639642">
      <w:bodyDiv w:val="1"/>
      <w:marLeft w:val="0"/>
      <w:marRight w:val="0"/>
      <w:marTop w:val="0"/>
      <w:marBottom w:val="0"/>
      <w:divBdr>
        <w:top w:val="none" w:sz="0" w:space="0" w:color="auto"/>
        <w:left w:val="none" w:sz="0" w:space="0" w:color="auto"/>
        <w:bottom w:val="none" w:sz="0" w:space="0" w:color="auto"/>
        <w:right w:val="none" w:sz="0" w:space="0" w:color="auto"/>
      </w:divBdr>
      <w:divsChild>
        <w:div w:id="684525917">
          <w:marLeft w:val="0"/>
          <w:marRight w:val="0"/>
          <w:marTop w:val="0"/>
          <w:marBottom w:val="0"/>
          <w:divBdr>
            <w:top w:val="none" w:sz="0" w:space="0" w:color="auto"/>
            <w:left w:val="none" w:sz="0" w:space="0" w:color="auto"/>
            <w:bottom w:val="none" w:sz="0" w:space="0" w:color="auto"/>
            <w:right w:val="none" w:sz="0" w:space="0" w:color="auto"/>
          </w:divBdr>
        </w:div>
        <w:div w:id="1208954389">
          <w:marLeft w:val="0"/>
          <w:marRight w:val="0"/>
          <w:marTop w:val="0"/>
          <w:marBottom w:val="0"/>
          <w:divBdr>
            <w:top w:val="none" w:sz="0" w:space="0" w:color="auto"/>
            <w:left w:val="none" w:sz="0" w:space="0" w:color="auto"/>
            <w:bottom w:val="none" w:sz="0" w:space="0" w:color="auto"/>
            <w:right w:val="none" w:sz="0" w:space="0" w:color="auto"/>
          </w:divBdr>
        </w:div>
        <w:div w:id="1309900584">
          <w:marLeft w:val="0"/>
          <w:marRight w:val="0"/>
          <w:marTop w:val="0"/>
          <w:marBottom w:val="0"/>
          <w:divBdr>
            <w:top w:val="none" w:sz="0" w:space="0" w:color="auto"/>
            <w:left w:val="none" w:sz="0" w:space="0" w:color="auto"/>
            <w:bottom w:val="none" w:sz="0" w:space="0" w:color="auto"/>
            <w:right w:val="none" w:sz="0" w:space="0" w:color="auto"/>
          </w:divBdr>
        </w:div>
        <w:div w:id="1349789340">
          <w:marLeft w:val="0"/>
          <w:marRight w:val="0"/>
          <w:marTop w:val="0"/>
          <w:marBottom w:val="0"/>
          <w:divBdr>
            <w:top w:val="none" w:sz="0" w:space="0" w:color="auto"/>
            <w:left w:val="none" w:sz="0" w:space="0" w:color="auto"/>
            <w:bottom w:val="none" w:sz="0" w:space="0" w:color="auto"/>
            <w:right w:val="none" w:sz="0" w:space="0" w:color="auto"/>
          </w:divBdr>
        </w:div>
        <w:div w:id="2023899310">
          <w:marLeft w:val="0"/>
          <w:marRight w:val="0"/>
          <w:marTop w:val="0"/>
          <w:marBottom w:val="0"/>
          <w:divBdr>
            <w:top w:val="none" w:sz="0" w:space="0" w:color="auto"/>
            <w:left w:val="none" w:sz="0" w:space="0" w:color="auto"/>
            <w:bottom w:val="none" w:sz="0" w:space="0" w:color="auto"/>
            <w:right w:val="none" w:sz="0" w:space="0" w:color="auto"/>
          </w:divBdr>
        </w:div>
      </w:divsChild>
    </w:div>
    <w:div w:id="2066681005">
      <w:bodyDiv w:val="1"/>
      <w:marLeft w:val="0"/>
      <w:marRight w:val="0"/>
      <w:marTop w:val="0"/>
      <w:marBottom w:val="0"/>
      <w:divBdr>
        <w:top w:val="none" w:sz="0" w:space="0" w:color="auto"/>
        <w:left w:val="none" w:sz="0" w:space="0" w:color="auto"/>
        <w:bottom w:val="none" w:sz="0" w:space="0" w:color="auto"/>
        <w:right w:val="none" w:sz="0" w:space="0" w:color="auto"/>
      </w:divBdr>
      <w:divsChild>
        <w:div w:id="353111834">
          <w:marLeft w:val="0"/>
          <w:marRight w:val="0"/>
          <w:marTop w:val="0"/>
          <w:marBottom w:val="0"/>
          <w:divBdr>
            <w:top w:val="none" w:sz="0" w:space="0" w:color="auto"/>
            <w:left w:val="none" w:sz="0" w:space="0" w:color="auto"/>
            <w:bottom w:val="none" w:sz="0" w:space="0" w:color="auto"/>
            <w:right w:val="none" w:sz="0" w:space="0" w:color="auto"/>
          </w:divBdr>
        </w:div>
        <w:div w:id="684669047">
          <w:marLeft w:val="0"/>
          <w:marRight w:val="0"/>
          <w:marTop w:val="0"/>
          <w:marBottom w:val="0"/>
          <w:divBdr>
            <w:top w:val="none" w:sz="0" w:space="0" w:color="auto"/>
            <w:left w:val="none" w:sz="0" w:space="0" w:color="auto"/>
            <w:bottom w:val="none" w:sz="0" w:space="0" w:color="auto"/>
            <w:right w:val="none" w:sz="0" w:space="0" w:color="auto"/>
          </w:divBdr>
        </w:div>
        <w:div w:id="834615240">
          <w:marLeft w:val="0"/>
          <w:marRight w:val="0"/>
          <w:marTop w:val="0"/>
          <w:marBottom w:val="0"/>
          <w:divBdr>
            <w:top w:val="none" w:sz="0" w:space="0" w:color="auto"/>
            <w:left w:val="none" w:sz="0" w:space="0" w:color="auto"/>
            <w:bottom w:val="none" w:sz="0" w:space="0" w:color="auto"/>
            <w:right w:val="none" w:sz="0" w:space="0" w:color="auto"/>
          </w:divBdr>
        </w:div>
        <w:div w:id="887108816">
          <w:marLeft w:val="0"/>
          <w:marRight w:val="0"/>
          <w:marTop w:val="0"/>
          <w:marBottom w:val="0"/>
          <w:divBdr>
            <w:top w:val="none" w:sz="0" w:space="0" w:color="auto"/>
            <w:left w:val="none" w:sz="0" w:space="0" w:color="auto"/>
            <w:bottom w:val="none" w:sz="0" w:space="0" w:color="auto"/>
            <w:right w:val="none" w:sz="0" w:space="0" w:color="auto"/>
          </w:divBdr>
        </w:div>
        <w:div w:id="1001084803">
          <w:marLeft w:val="0"/>
          <w:marRight w:val="0"/>
          <w:marTop w:val="0"/>
          <w:marBottom w:val="0"/>
          <w:divBdr>
            <w:top w:val="none" w:sz="0" w:space="0" w:color="auto"/>
            <w:left w:val="none" w:sz="0" w:space="0" w:color="auto"/>
            <w:bottom w:val="none" w:sz="0" w:space="0" w:color="auto"/>
            <w:right w:val="none" w:sz="0" w:space="0" w:color="auto"/>
          </w:divBdr>
        </w:div>
        <w:div w:id="1054278544">
          <w:marLeft w:val="0"/>
          <w:marRight w:val="0"/>
          <w:marTop w:val="0"/>
          <w:marBottom w:val="0"/>
          <w:divBdr>
            <w:top w:val="none" w:sz="0" w:space="0" w:color="auto"/>
            <w:left w:val="none" w:sz="0" w:space="0" w:color="auto"/>
            <w:bottom w:val="none" w:sz="0" w:space="0" w:color="auto"/>
            <w:right w:val="none" w:sz="0" w:space="0" w:color="auto"/>
          </w:divBdr>
        </w:div>
        <w:div w:id="1079526428">
          <w:marLeft w:val="0"/>
          <w:marRight w:val="0"/>
          <w:marTop w:val="0"/>
          <w:marBottom w:val="0"/>
          <w:divBdr>
            <w:top w:val="none" w:sz="0" w:space="0" w:color="auto"/>
            <w:left w:val="none" w:sz="0" w:space="0" w:color="auto"/>
            <w:bottom w:val="none" w:sz="0" w:space="0" w:color="auto"/>
            <w:right w:val="none" w:sz="0" w:space="0" w:color="auto"/>
          </w:divBdr>
        </w:div>
        <w:div w:id="1496602942">
          <w:marLeft w:val="0"/>
          <w:marRight w:val="0"/>
          <w:marTop w:val="0"/>
          <w:marBottom w:val="0"/>
          <w:divBdr>
            <w:top w:val="none" w:sz="0" w:space="0" w:color="auto"/>
            <w:left w:val="none" w:sz="0" w:space="0" w:color="auto"/>
            <w:bottom w:val="none" w:sz="0" w:space="0" w:color="auto"/>
            <w:right w:val="none" w:sz="0" w:space="0" w:color="auto"/>
          </w:divBdr>
        </w:div>
        <w:div w:id="1863981249">
          <w:marLeft w:val="0"/>
          <w:marRight w:val="0"/>
          <w:marTop w:val="0"/>
          <w:marBottom w:val="0"/>
          <w:divBdr>
            <w:top w:val="none" w:sz="0" w:space="0" w:color="auto"/>
            <w:left w:val="none" w:sz="0" w:space="0" w:color="auto"/>
            <w:bottom w:val="none" w:sz="0" w:space="0" w:color="auto"/>
            <w:right w:val="none" w:sz="0" w:space="0" w:color="auto"/>
          </w:divBdr>
        </w:div>
      </w:divsChild>
    </w:div>
    <w:div w:id="2066828682">
      <w:bodyDiv w:val="1"/>
      <w:marLeft w:val="0"/>
      <w:marRight w:val="0"/>
      <w:marTop w:val="0"/>
      <w:marBottom w:val="0"/>
      <w:divBdr>
        <w:top w:val="none" w:sz="0" w:space="0" w:color="auto"/>
        <w:left w:val="none" w:sz="0" w:space="0" w:color="auto"/>
        <w:bottom w:val="none" w:sz="0" w:space="0" w:color="auto"/>
        <w:right w:val="none" w:sz="0" w:space="0" w:color="auto"/>
      </w:divBdr>
      <w:divsChild>
        <w:div w:id="187718908">
          <w:marLeft w:val="0"/>
          <w:marRight w:val="0"/>
          <w:marTop w:val="0"/>
          <w:marBottom w:val="0"/>
          <w:divBdr>
            <w:top w:val="none" w:sz="0" w:space="0" w:color="auto"/>
            <w:left w:val="none" w:sz="0" w:space="0" w:color="auto"/>
            <w:bottom w:val="none" w:sz="0" w:space="0" w:color="auto"/>
            <w:right w:val="none" w:sz="0" w:space="0" w:color="auto"/>
          </w:divBdr>
        </w:div>
        <w:div w:id="741222625">
          <w:marLeft w:val="0"/>
          <w:marRight w:val="0"/>
          <w:marTop w:val="0"/>
          <w:marBottom w:val="0"/>
          <w:divBdr>
            <w:top w:val="none" w:sz="0" w:space="0" w:color="auto"/>
            <w:left w:val="none" w:sz="0" w:space="0" w:color="auto"/>
            <w:bottom w:val="none" w:sz="0" w:space="0" w:color="auto"/>
            <w:right w:val="none" w:sz="0" w:space="0" w:color="auto"/>
          </w:divBdr>
        </w:div>
        <w:div w:id="754940144">
          <w:marLeft w:val="0"/>
          <w:marRight w:val="0"/>
          <w:marTop w:val="0"/>
          <w:marBottom w:val="0"/>
          <w:divBdr>
            <w:top w:val="none" w:sz="0" w:space="0" w:color="auto"/>
            <w:left w:val="none" w:sz="0" w:space="0" w:color="auto"/>
            <w:bottom w:val="none" w:sz="0" w:space="0" w:color="auto"/>
            <w:right w:val="none" w:sz="0" w:space="0" w:color="auto"/>
          </w:divBdr>
        </w:div>
        <w:div w:id="1045712621">
          <w:marLeft w:val="0"/>
          <w:marRight w:val="0"/>
          <w:marTop w:val="0"/>
          <w:marBottom w:val="0"/>
          <w:divBdr>
            <w:top w:val="none" w:sz="0" w:space="0" w:color="auto"/>
            <w:left w:val="none" w:sz="0" w:space="0" w:color="auto"/>
            <w:bottom w:val="none" w:sz="0" w:space="0" w:color="auto"/>
            <w:right w:val="none" w:sz="0" w:space="0" w:color="auto"/>
          </w:divBdr>
        </w:div>
        <w:div w:id="1212616393">
          <w:marLeft w:val="0"/>
          <w:marRight w:val="0"/>
          <w:marTop w:val="0"/>
          <w:marBottom w:val="0"/>
          <w:divBdr>
            <w:top w:val="none" w:sz="0" w:space="0" w:color="auto"/>
            <w:left w:val="none" w:sz="0" w:space="0" w:color="auto"/>
            <w:bottom w:val="none" w:sz="0" w:space="0" w:color="auto"/>
            <w:right w:val="none" w:sz="0" w:space="0" w:color="auto"/>
          </w:divBdr>
        </w:div>
        <w:div w:id="1547402560">
          <w:marLeft w:val="0"/>
          <w:marRight w:val="0"/>
          <w:marTop w:val="0"/>
          <w:marBottom w:val="0"/>
          <w:divBdr>
            <w:top w:val="none" w:sz="0" w:space="0" w:color="auto"/>
            <w:left w:val="none" w:sz="0" w:space="0" w:color="auto"/>
            <w:bottom w:val="none" w:sz="0" w:space="0" w:color="auto"/>
            <w:right w:val="none" w:sz="0" w:space="0" w:color="auto"/>
          </w:divBdr>
        </w:div>
        <w:div w:id="1612006326">
          <w:marLeft w:val="0"/>
          <w:marRight w:val="0"/>
          <w:marTop w:val="0"/>
          <w:marBottom w:val="0"/>
          <w:divBdr>
            <w:top w:val="none" w:sz="0" w:space="0" w:color="auto"/>
            <w:left w:val="none" w:sz="0" w:space="0" w:color="auto"/>
            <w:bottom w:val="none" w:sz="0" w:space="0" w:color="auto"/>
            <w:right w:val="none" w:sz="0" w:space="0" w:color="auto"/>
          </w:divBdr>
        </w:div>
      </w:divsChild>
    </w:div>
    <w:div w:id="2083091857">
      <w:bodyDiv w:val="1"/>
      <w:marLeft w:val="0"/>
      <w:marRight w:val="0"/>
      <w:marTop w:val="0"/>
      <w:marBottom w:val="0"/>
      <w:divBdr>
        <w:top w:val="none" w:sz="0" w:space="0" w:color="auto"/>
        <w:left w:val="none" w:sz="0" w:space="0" w:color="auto"/>
        <w:bottom w:val="none" w:sz="0" w:space="0" w:color="auto"/>
        <w:right w:val="none" w:sz="0" w:space="0" w:color="auto"/>
      </w:divBdr>
    </w:div>
    <w:div w:id="2107145594">
      <w:bodyDiv w:val="1"/>
      <w:marLeft w:val="0"/>
      <w:marRight w:val="0"/>
      <w:marTop w:val="0"/>
      <w:marBottom w:val="0"/>
      <w:divBdr>
        <w:top w:val="none" w:sz="0" w:space="0" w:color="auto"/>
        <w:left w:val="none" w:sz="0" w:space="0" w:color="auto"/>
        <w:bottom w:val="none" w:sz="0" w:space="0" w:color="auto"/>
        <w:right w:val="none" w:sz="0" w:space="0" w:color="auto"/>
      </w:divBdr>
      <w:divsChild>
        <w:div w:id="737214877">
          <w:marLeft w:val="0"/>
          <w:marRight w:val="0"/>
          <w:marTop w:val="0"/>
          <w:marBottom w:val="0"/>
          <w:divBdr>
            <w:top w:val="none" w:sz="0" w:space="0" w:color="auto"/>
            <w:left w:val="none" w:sz="0" w:space="0" w:color="auto"/>
            <w:bottom w:val="none" w:sz="0" w:space="0" w:color="auto"/>
            <w:right w:val="none" w:sz="0" w:space="0" w:color="auto"/>
          </w:divBdr>
        </w:div>
        <w:div w:id="1511407470">
          <w:marLeft w:val="0"/>
          <w:marRight w:val="0"/>
          <w:marTop w:val="0"/>
          <w:marBottom w:val="0"/>
          <w:divBdr>
            <w:top w:val="none" w:sz="0" w:space="0" w:color="auto"/>
            <w:left w:val="none" w:sz="0" w:space="0" w:color="auto"/>
            <w:bottom w:val="none" w:sz="0" w:space="0" w:color="auto"/>
            <w:right w:val="none" w:sz="0" w:space="0" w:color="auto"/>
          </w:divBdr>
        </w:div>
        <w:div w:id="2030833856">
          <w:marLeft w:val="0"/>
          <w:marRight w:val="0"/>
          <w:marTop w:val="0"/>
          <w:marBottom w:val="0"/>
          <w:divBdr>
            <w:top w:val="none" w:sz="0" w:space="0" w:color="auto"/>
            <w:left w:val="none" w:sz="0" w:space="0" w:color="auto"/>
            <w:bottom w:val="none" w:sz="0" w:space="0" w:color="auto"/>
            <w:right w:val="none" w:sz="0" w:space="0" w:color="auto"/>
          </w:divBdr>
        </w:div>
        <w:div w:id="2042586388">
          <w:marLeft w:val="0"/>
          <w:marRight w:val="0"/>
          <w:marTop w:val="0"/>
          <w:marBottom w:val="0"/>
          <w:divBdr>
            <w:top w:val="none" w:sz="0" w:space="0" w:color="auto"/>
            <w:left w:val="none" w:sz="0" w:space="0" w:color="auto"/>
            <w:bottom w:val="none" w:sz="0" w:space="0" w:color="auto"/>
            <w:right w:val="none" w:sz="0" w:space="0" w:color="auto"/>
          </w:divBdr>
        </w:div>
        <w:div w:id="21418802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ca.ga.gov/safe-affordable-housing/rental-housing-development/housing-tax-credit-program-lihtc/qualified-0/2022" TargetMode="External"/><Relationship Id="rId21" Type="http://schemas.openxmlformats.org/officeDocument/2006/relationships/hyperlink" Target="mailto:Felecia.Speakman@dca.ga.gov" TargetMode="External"/><Relationship Id="rId34" Type="http://schemas.openxmlformats.org/officeDocument/2006/relationships/hyperlink" Target="https://www.dca.ga.gov/safe-affordable-housing/rental-housing-development/housing-tax-credit-program-lihtc/qualified-0-0" TargetMode="External"/><Relationship Id="rId42" Type="http://schemas.openxmlformats.org/officeDocument/2006/relationships/hyperlink" Target="https://www.dca.ga.gov/safe-affordable-housing/rental-housing-development/housing-tax-credit-program-lihtc/qualified-0-0" TargetMode="External"/><Relationship Id="rId47" Type="http://schemas.openxmlformats.org/officeDocument/2006/relationships/image" Target="media/image4.png"/><Relationship Id="rId50" Type="http://schemas.openxmlformats.org/officeDocument/2006/relationships/hyperlink" Target="https://www.dca.ga.gov/safe-affordable-housing/rental-housing-development/housing-tax-credit-program-lihtc/qualified-0-0" TargetMode="External"/><Relationship Id="rId55" Type="http://schemas.openxmlformats.org/officeDocument/2006/relationships/hyperlink" Target="https://www.dca.ga.gov/safe-affordable-housing/rental-housing-development/housing-tax-credit-program-lihtc/qualified-0-0" TargetMode="External"/><Relationship Id="rId63" Type="http://schemas.openxmlformats.org/officeDocument/2006/relationships/hyperlink" Target="https://www.dca.ga.gov/node/7818"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dca.ga.gov/node/8085" TargetMode="External"/><Relationship Id="rId29" Type="http://schemas.openxmlformats.org/officeDocument/2006/relationships/hyperlink" Target="https://www.dca.ga.gov/safe-affordable-housing/rental-housing-development/housing-tax-credit-program-lihtc/qualified-0-0" TargetMode="External"/><Relationship Id="rId11" Type="http://schemas.openxmlformats.org/officeDocument/2006/relationships/image" Target="media/image1.emf"/><Relationship Id="rId24" Type="http://schemas.openxmlformats.org/officeDocument/2006/relationships/hyperlink" Target="https://www.gadoe.org/CCRPI/Pages/default.aspx" TargetMode="External"/><Relationship Id="rId32" Type="http://schemas.openxmlformats.org/officeDocument/2006/relationships/hyperlink" Target="https://www.dca.ga.gov/node/7815" TargetMode="External"/><Relationship Id="rId37" Type="http://schemas.openxmlformats.org/officeDocument/2006/relationships/hyperlink" Target="https://dcaqap.formstack.com/forms/2022_taxcredit_questions" TargetMode="External"/><Relationship Id="rId40" Type="http://schemas.openxmlformats.org/officeDocument/2006/relationships/hyperlink" Target="https://www.dca.ga.gov/node/7805" TargetMode="External"/><Relationship Id="rId45" Type="http://schemas.openxmlformats.org/officeDocument/2006/relationships/hyperlink" Target="https://georgia-dca.maps.arcgis.com/apps/View/index.html?appid=f40de6a6f3ca455988ccb28f25c8a80e" TargetMode="External"/><Relationship Id="rId53" Type="http://schemas.openxmlformats.org/officeDocument/2006/relationships/hyperlink" Target="https://www.gadoe.org/CCRPI/Pages/default.aspx" TargetMode="External"/><Relationship Id="rId58" Type="http://schemas.openxmlformats.org/officeDocument/2006/relationships/hyperlink" Target="https://www.dca.ga.gov/node/7804" TargetMode="External"/><Relationship Id="rId66"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s://www.dca.ga.gov/safe-affordable-housing/rental-housing-development/housing-tax-credit-program-lihtc/application" TargetMode="External"/><Relationship Id="rId19" Type="http://schemas.openxmlformats.org/officeDocument/2006/relationships/image" Target="media/image2.png"/><Relationship Id="rId14" Type="http://schemas.openxmlformats.org/officeDocument/2006/relationships/hyperlink" Target="mailto:hfdround@dca.ga.gov" TargetMode="External"/><Relationship Id="rId22" Type="http://schemas.openxmlformats.org/officeDocument/2006/relationships/hyperlink" Target="mailto:Sanjana.Zahin@dca.ga.gov" TargetMode="External"/><Relationship Id="rId27" Type="http://schemas.openxmlformats.org/officeDocument/2006/relationships/hyperlink" Target="https://www.dca.ga.gov/node/7805" TargetMode="External"/><Relationship Id="rId30" Type="http://schemas.openxmlformats.org/officeDocument/2006/relationships/hyperlink" Target="https://www.dca.ga.gov/safe-affordable-housing/rental-housing-development/housing-tax-credit-program-lihtc/qualified-0/2022" TargetMode="External"/><Relationship Id="rId35" Type="http://schemas.openxmlformats.org/officeDocument/2006/relationships/hyperlink" Target="https://www.dca.ga.gov/safe-affordable-housing/rental-housing-development/compliance-monitoring/utility-allowances" TargetMode="External"/><Relationship Id="rId43" Type="http://schemas.openxmlformats.org/officeDocument/2006/relationships/hyperlink" Target="https://www.dca.ga.gov/safe-affordable-housing/rental-housing-development/housing-tax-credit-program-lihtc/qualified-0-0" TargetMode="External"/><Relationship Id="rId48" Type="http://schemas.openxmlformats.org/officeDocument/2006/relationships/image" Target="media/image5.png"/><Relationship Id="rId56" Type="http://schemas.openxmlformats.org/officeDocument/2006/relationships/hyperlink" Target="https://www.dca.ga.gov/safe-affordable-housing/rental-housing-development/housing-tax-credit-program-lihtc/qualified-0-1"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s://www.dca.ga.gov/safe-affordable-housing/rental-housing-development/housing-tax-credit-program-lihtc/qualified-0-0" TargetMode="External"/><Relationship Id="rId3" Type="http://schemas.openxmlformats.org/officeDocument/2006/relationships/customXml" Target="../customXml/item3.xml"/><Relationship Id="rId12" Type="http://schemas.openxmlformats.org/officeDocument/2006/relationships/hyperlink" Target="https://www.dca.ga.gov/safe-affordable-housing/rental-housing-development/housing-tax-credit-program-lihtc/qualified-0/2022" TargetMode="External"/><Relationship Id="rId17" Type="http://schemas.openxmlformats.org/officeDocument/2006/relationships/hyperlink" Target="https://www.dca.ga.gov/sites/default/files/dca_income_averaging_policy_revised_2.3.21_0.pdf" TargetMode="External"/><Relationship Id="rId25" Type="http://schemas.openxmlformats.org/officeDocument/2006/relationships/hyperlink" Target="https://www.dca.ga.gov/safe-affordable-housing/rental-housing-development/housing-tax-credit-program-lihtc/qualified-0-0" TargetMode="External"/><Relationship Id="rId33" Type="http://schemas.openxmlformats.org/officeDocument/2006/relationships/hyperlink" Target="http://dcaqap.formstack.com/forms/yearround_qap_survey" TargetMode="External"/><Relationship Id="rId38" Type="http://schemas.openxmlformats.org/officeDocument/2006/relationships/hyperlink" Target="https://www.dca.ga.gov/safe-affordable-housing/rental-housing-development/housing-tax-credit-program-lihtc/qualified-0-0" TargetMode="External"/><Relationship Id="rId46" Type="http://schemas.openxmlformats.org/officeDocument/2006/relationships/image" Target="media/image3.png"/><Relationship Id="rId59" Type="http://schemas.openxmlformats.org/officeDocument/2006/relationships/hyperlink" Target="https://www.dca.ga.gov/node/7804" TargetMode="External"/><Relationship Id="rId67" Type="http://schemas.openxmlformats.org/officeDocument/2006/relationships/fontTable" Target="fontTable.xml"/><Relationship Id="rId20" Type="http://schemas.openxmlformats.org/officeDocument/2006/relationships/hyperlink" Target="http://ccrpi.gadoe.org/Reports/Views/Shared/_Layout.html" TargetMode="External"/><Relationship Id="rId41" Type="http://schemas.openxmlformats.org/officeDocument/2006/relationships/hyperlink" Target="https://www.dca.ga.gov/safe-affordable-housing/rental-housing-development/housing-tax-credit-program-lihtc/application" TargetMode="External"/><Relationship Id="rId54" Type="http://schemas.openxmlformats.org/officeDocument/2006/relationships/hyperlink" Target="https://www.gadoe.org/CCRPI/Pages/-Archived-CCRPI-Data-Files.aspx?" TargetMode="External"/><Relationship Id="rId62" Type="http://schemas.openxmlformats.org/officeDocument/2006/relationships/hyperlink" Target="https://www.dca.ga.gov/node/7818"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dca.ga.gov/node/7817" TargetMode="External"/><Relationship Id="rId23" Type="http://schemas.openxmlformats.org/officeDocument/2006/relationships/hyperlink" Target="https://www.dca.ga.gov/node/8085" TargetMode="External"/><Relationship Id="rId28" Type="http://schemas.openxmlformats.org/officeDocument/2006/relationships/hyperlink" Target="https://www.dca.ga.gov/node/7817" TargetMode="External"/><Relationship Id="rId36" Type="http://schemas.openxmlformats.org/officeDocument/2006/relationships/hyperlink" Target="https://consumer.georgia.gov/consumer-topics/health-care-professionals" TargetMode="External"/><Relationship Id="rId49" Type="http://schemas.openxmlformats.org/officeDocument/2006/relationships/hyperlink" Target="https://www.youtube.com/watch?v=VozXGGf8Ueg&amp;t=503s" TargetMode="External"/><Relationship Id="rId57" Type="http://schemas.openxmlformats.org/officeDocument/2006/relationships/hyperlink" Target="https://www.dca.ga.gov/safe-affordable-housing/rental-housing-development/compliance-monitoring" TargetMode="External"/><Relationship Id="rId10" Type="http://schemas.openxmlformats.org/officeDocument/2006/relationships/endnotes" Target="endnotes.xml"/><Relationship Id="rId31" Type="http://schemas.openxmlformats.org/officeDocument/2006/relationships/hyperlink" Target="https://www.dca.ga.gov/safe-affordable-housing/rental-housing-development/housing-tax-credit-program-lihtc/qualified-0/2022" TargetMode="External"/><Relationship Id="rId44" Type="http://schemas.openxmlformats.org/officeDocument/2006/relationships/hyperlink" Target="https://www.dca.ga.gov/safe-affordable-housing/rental-housing-development/housing-tax-credit-program-lihtc/qualified-0-0" TargetMode="External"/><Relationship Id="rId52" Type="http://schemas.openxmlformats.org/officeDocument/2006/relationships/hyperlink" Target="https://www.dca.ga.gov/safe-affordable-housing/rental-housing-development/housing-tax-credit-program-lihtc/application" TargetMode="External"/><Relationship Id="rId60" Type="http://schemas.openxmlformats.org/officeDocument/2006/relationships/hyperlink" Target="https://www.dca.ga.gov/safe-affordable-housing/rental-housing-development/compliance-monitoring" TargetMode="External"/><Relationship Id="rId6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hfdround@dca.ga.gov" TargetMode="External"/><Relationship Id="rId18" Type="http://schemas.openxmlformats.org/officeDocument/2006/relationships/hyperlink" Target="https://www.dca.ga.gov/node/8085" TargetMode="External"/><Relationship Id="rId39" Type="http://schemas.openxmlformats.org/officeDocument/2006/relationships/hyperlink" Target="https://www.dca.ga.gov/safe-affordable-housing/rental-housing-development/compliance-monitoring/utility-allowan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431100d4-4470-42c1-96bc-46686c1829ae">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C28513F06E9409310364D80ACD8FD" ma:contentTypeVersion="6" ma:contentTypeDescription="Create a new document." ma:contentTypeScope="" ma:versionID="ae0e050481ac1421d4f3fab99e1b59c0">
  <xsd:schema xmlns:xsd="http://www.w3.org/2001/XMLSchema" xmlns:xs="http://www.w3.org/2001/XMLSchema" xmlns:p="http://schemas.microsoft.com/office/2006/metadata/properties" xmlns:ns2="0b389fdf-c1cd-4589-91b6-850ba51ff85c" xmlns:ns3="431100d4-4470-42c1-96bc-46686c1829ae" targetNamespace="http://schemas.microsoft.com/office/2006/metadata/properties" ma:root="true" ma:fieldsID="de0fd987dc613b5d370f5f94535d9e2f" ns2:_="" ns3:_="">
    <xsd:import namespace="0b389fdf-c1cd-4589-91b6-850ba51ff85c"/>
    <xsd:import namespace="431100d4-4470-42c1-96bc-46686c1829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389fdf-c1cd-4589-91b6-850ba51ff8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31100d4-4470-42c1-96bc-46686c1829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CB819E-9CCA-4FCD-90F4-6C873F64136A}">
  <ds:schemaRefs>
    <ds:schemaRef ds:uri="http://schemas.microsoft.com/sharepoint/v3/contenttype/forms"/>
  </ds:schemaRefs>
</ds:datastoreItem>
</file>

<file path=customXml/itemProps2.xml><?xml version="1.0" encoding="utf-8"?>
<ds:datastoreItem xmlns:ds="http://schemas.openxmlformats.org/officeDocument/2006/customXml" ds:itemID="{C48830A2-3A51-48E6-8C47-BC7C7E17F3D6}">
  <ds:schemaRefs>
    <ds:schemaRef ds:uri="http://schemas.openxmlformats.org/officeDocument/2006/bibliography"/>
  </ds:schemaRefs>
</ds:datastoreItem>
</file>

<file path=customXml/itemProps3.xml><?xml version="1.0" encoding="utf-8"?>
<ds:datastoreItem xmlns:ds="http://schemas.openxmlformats.org/officeDocument/2006/customXml" ds:itemID="{36CA9A69-CD3B-44FD-A2A0-AD4169BB2B1F}">
  <ds:schemaRefs>
    <ds:schemaRef ds:uri="http://purl.org/dc/terms/"/>
    <ds:schemaRef ds:uri="http://schemas.microsoft.com/office/2006/metadata/properties"/>
    <ds:schemaRef ds:uri="0b389fdf-c1cd-4589-91b6-850ba51ff85c"/>
    <ds:schemaRef ds:uri="http://purl.org/dc/dcmitype/"/>
    <ds:schemaRef ds:uri="http://schemas.microsoft.com/office/2006/documentManagement/types"/>
    <ds:schemaRef ds:uri="http://schemas.openxmlformats.org/package/2006/metadata/core-properties"/>
    <ds:schemaRef ds:uri="431100d4-4470-42c1-96bc-46686c1829ae"/>
    <ds:schemaRef ds:uri="http://schemas.microsoft.com/office/infopath/2007/PartnerControls"/>
    <ds:schemaRef ds:uri="http://www.w3.org/XML/1998/namespace"/>
    <ds:schemaRef ds:uri="http://purl.org/dc/elements/1.1/"/>
  </ds:schemaRefs>
</ds:datastoreItem>
</file>

<file path=customXml/itemProps4.xml><?xml version="1.0" encoding="utf-8"?>
<ds:datastoreItem xmlns:ds="http://schemas.openxmlformats.org/officeDocument/2006/customXml" ds:itemID="{BB2DBEFE-31C7-4EE9-9265-9E44134A4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389fdf-c1cd-4589-91b6-850ba51ff85c"/>
    <ds:schemaRef ds:uri="431100d4-4470-42c1-96bc-46686c1829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24674</Words>
  <Characters>140648</Characters>
  <Application>Microsoft Office Word</Application>
  <DocSecurity>0</DocSecurity>
  <Lines>1172</Lines>
  <Paragraphs>329</Paragraphs>
  <ScaleCrop>false</ScaleCrop>
  <Company/>
  <LinksUpToDate>false</LinksUpToDate>
  <CharactersWithSpaces>164993</CharactersWithSpaces>
  <SharedDoc>false</SharedDoc>
  <HLinks>
    <vt:vector size="288" baseType="variant">
      <vt:variant>
        <vt:i4>5242944</vt:i4>
      </vt:variant>
      <vt:variant>
        <vt:i4>141</vt:i4>
      </vt:variant>
      <vt:variant>
        <vt:i4>0</vt:i4>
      </vt:variant>
      <vt:variant>
        <vt:i4>5</vt:i4>
      </vt:variant>
      <vt:variant>
        <vt:lpwstr>https://www.dca.ga.gov/node/7818</vt:lpwstr>
      </vt:variant>
      <vt:variant>
        <vt:lpwstr/>
      </vt:variant>
      <vt:variant>
        <vt:i4>5242944</vt:i4>
      </vt:variant>
      <vt:variant>
        <vt:i4>138</vt:i4>
      </vt:variant>
      <vt:variant>
        <vt:i4>0</vt:i4>
      </vt:variant>
      <vt:variant>
        <vt:i4>5</vt:i4>
      </vt:variant>
      <vt:variant>
        <vt:lpwstr>https://www.dca.ga.gov/node/7818</vt:lpwstr>
      </vt:variant>
      <vt:variant>
        <vt:lpwstr/>
      </vt:variant>
      <vt:variant>
        <vt:i4>7340131</vt:i4>
      </vt:variant>
      <vt:variant>
        <vt:i4>135</vt:i4>
      </vt:variant>
      <vt:variant>
        <vt:i4>0</vt:i4>
      </vt:variant>
      <vt:variant>
        <vt:i4>5</vt:i4>
      </vt:variant>
      <vt:variant>
        <vt:lpwstr>https://www.dca.ga.gov/safe-affordable-housing/rental-housing-development/housing-tax-credit-program-lihtc/application</vt:lpwstr>
      </vt:variant>
      <vt:variant>
        <vt:lpwstr/>
      </vt:variant>
      <vt:variant>
        <vt:i4>7209084</vt:i4>
      </vt:variant>
      <vt:variant>
        <vt:i4>132</vt:i4>
      </vt:variant>
      <vt:variant>
        <vt:i4>0</vt:i4>
      </vt:variant>
      <vt:variant>
        <vt:i4>5</vt:i4>
      </vt:variant>
      <vt:variant>
        <vt:lpwstr>https://www.dca.ga.gov/safe-affordable-housing/rental-housing-development/compliance-monitoring</vt:lpwstr>
      </vt:variant>
      <vt:variant>
        <vt:lpwstr/>
      </vt:variant>
      <vt:variant>
        <vt:i4>6029377</vt:i4>
      </vt:variant>
      <vt:variant>
        <vt:i4>129</vt:i4>
      </vt:variant>
      <vt:variant>
        <vt:i4>0</vt:i4>
      </vt:variant>
      <vt:variant>
        <vt:i4>5</vt:i4>
      </vt:variant>
      <vt:variant>
        <vt:lpwstr>https://www.dca.ga.gov/node/7804</vt:lpwstr>
      </vt:variant>
      <vt:variant>
        <vt:lpwstr/>
      </vt:variant>
      <vt:variant>
        <vt:i4>6029377</vt:i4>
      </vt:variant>
      <vt:variant>
        <vt:i4>126</vt:i4>
      </vt:variant>
      <vt:variant>
        <vt:i4>0</vt:i4>
      </vt:variant>
      <vt:variant>
        <vt:i4>5</vt:i4>
      </vt:variant>
      <vt:variant>
        <vt:lpwstr>https://www.dca.ga.gov/node/7804</vt:lpwstr>
      </vt:variant>
      <vt:variant>
        <vt:lpwstr/>
      </vt:variant>
      <vt:variant>
        <vt:i4>7209084</vt:i4>
      </vt:variant>
      <vt:variant>
        <vt:i4>123</vt:i4>
      </vt:variant>
      <vt:variant>
        <vt:i4>0</vt:i4>
      </vt:variant>
      <vt:variant>
        <vt:i4>5</vt:i4>
      </vt:variant>
      <vt:variant>
        <vt:lpwstr>https://www.dca.ga.gov/safe-affordable-housing/rental-housing-development/compliance-monitoring</vt:lpwstr>
      </vt:variant>
      <vt:variant>
        <vt:lpwstr/>
      </vt:variant>
      <vt:variant>
        <vt:i4>1769501</vt:i4>
      </vt:variant>
      <vt:variant>
        <vt:i4>120</vt:i4>
      </vt:variant>
      <vt:variant>
        <vt:i4>0</vt:i4>
      </vt:variant>
      <vt:variant>
        <vt:i4>5</vt:i4>
      </vt:variant>
      <vt:variant>
        <vt:lpwstr>https://www.dca.ga.gov/safe-affordable-housing/rental-housing-development/housing-tax-credit-program-lihtc/qualified-0-1</vt:lpwstr>
      </vt:variant>
      <vt:variant>
        <vt:lpwstr/>
      </vt:variant>
      <vt:variant>
        <vt:i4>1703965</vt:i4>
      </vt:variant>
      <vt:variant>
        <vt:i4>117</vt:i4>
      </vt:variant>
      <vt:variant>
        <vt:i4>0</vt:i4>
      </vt:variant>
      <vt:variant>
        <vt:i4>5</vt:i4>
      </vt:variant>
      <vt:variant>
        <vt:lpwstr>https://www.dca.ga.gov/safe-affordable-housing/rental-housing-development/housing-tax-credit-program-lihtc/qualified-0-0</vt:lpwstr>
      </vt:variant>
      <vt:variant>
        <vt:lpwstr/>
      </vt:variant>
      <vt:variant>
        <vt:i4>6815867</vt:i4>
      </vt:variant>
      <vt:variant>
        <vt:i4>114</vt:i4>
      </vt:variant>
      <vt:variant>
        <vt:i4>0</vt:i4>
      </vt:variant>
      <vt:variant>
        <vt:i4>5</vt:i4>
      </vt:variant>
      <vt:variant>
        <vt:lpwstr>https://www.gadoe.org/CCRPI/Pages/-Archived-CCRPI-Data-Files.aspx?</vt:lpwstr>
      </vt:variant>
      <vt:variant>
        <vt:lpwstr/>
      </vt:variant>
      <vt:variant>
        <vt:i4>7274528</vt:i4>
      </vt:variant>
      <vt:variant>
        <vt:i4>111</vt:i4>
      </vt:variant>
      <vt:variant>
        <vt:i4>0</vt:i4>
      </vt:variant>
      <vt:variant>
        <vt:i4>5</vt:i4>
      </vt:variant>
      <vt:variant>
        <vt:lpwstr>https://www.gadoe.org/CCRPI/Pages/default.aspx</vt:lpwstr>
      </vt:variant>
      <vt:variant>
        <vt:lpwstr/>
      </vt:variant>
      <vt:variant>
        <vt:i4>7340131</vt:i4>
      </vt:variant>
      <vt:variant>
        <vt:i4>108</vt:i4>
      </vt:variant>
      <vt:variant>
        <vt:i4>0</vt:i4>
      </vt:variant>
      <vt:variant>
        <vt:i4>5</vt:i4>
      </vt:variant>
      <vt:variant>
        <vt:lpwstr>https://www.dca.ga.gov/safe-affordable-housing/rental-housing-development/housing-tax-credit-program-lihtc/application</vt:lpwstr>
      </vt:variant>
      <vt:variant>
        <vt:lpwstr/>
      </vt:variant>
      <vt:variant>
        <vt:i4>1703965</vt:i4>
      </vt:variant>
      <vt:variant>
        <vt:i4>105</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102</vt:i4>
      </vt:variant>
      <vt:variant>
        <vt:i4>0</vt:i4>
      </vt:variant>
      <vt:variant>
        <vt:i4>5</vt:i4>
      </vt:variant>
      <vt:variant>
        <vt:lpwstr>https://www.dca.ga.gov/safe-affordable-housing/rental-housing-development/housing-tax-credit-program-lihtc/qualified-0-0</vt:lpwstr>
      </vt:variant>
      <vt:variant>
        <vt:lpwstr/>
      </vt:variant>
      <vt:variant>
        <vt:i4>2752546</vt:i4>
      </vt:variant>
      <vt:variant>
        <vt:i4>99</vt:i4>
      </vt:variant>
      <vt:variant>
        <vt:i4>0</vt:i4>
      </vt:variant>
      <vt:variant>
        <vt:i4>5</vt:i4>
      </vt:variant>
      <vt:variant>
        <vt:lpwstr>https://www.youtube.com/watch?v=VozXGGf8Ueg&amp;t=503s</vt:lpwstr>
      </vt:variant>
      <vt:variant>
        <vt:lpwstr/>
      </vt:variant>
      <vt:variant>
        <vt:i4>3670127</vt:i4>
      </vt:variant>
      <vt:variant>
        <vt:i4>96</vt:i4>
      </vt:variant>
      <vt:variant>
        <vt:i4>0</vt:i4>
      </vt:variant>
      <vt:variant>
        <vt:i4>5</vt:i4>
      </vt:variant>
      <vt:variant>
        <vt:lpwstr>https://georgia-dca.maps.arcgis.com/apps/View/index.html?appid=f40de6a6f3ca455988ccb28f25c8a80e</vt:lpwstr>
      </vt:variant>
      <vt:variant>
        <vt:lpwstr/>
      </vt:variant>
      <vt:variant>
        <vt:i4>1703965</vt:i4>
      </vt:variant>
      <vt:variant>
        <vt:i4>93</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90</vt:i4>
      </vt:variant>
      <vt:variant>
        <vt:i4>0</vt:i4>
      </vt:variant>
      <vt:variant>
        <vt:i4>5</vt:i4>
      </vt:variant>
      <vt:variant>
        <vt:lpwstr>https://www.dca.ga.gov/safe-affordable-housing/rental-housing-development/housing-tax-credit-program-lihtc/qualified-0-0</vt:lpwstr>
      </vt:variant>
      <vt:variant>
        <vt:lpwstr/>
      </vt:variant>
      <vt:variant>
        <vt:i4>1703965</vt:i4>
      </vt:variant>
      <vt:variant>
        <vt:i4>87</vt:i4>
      </vt:variant>
      <vt:variant>
        <vt:i4>0</vt:i4>
      </vt:variant>
      <vt:variant>
        <vt:i4>5</vt:i4>
      </vt:variant>
      <vt:variant>
        <vt:lpwstr>https://www.dca.ga.gov/safe-affordable-housing/rental-housing-development/housing-tax-credit-program-lihtc/qualified-0-0</vt:lpwstr>
      </vt:variant>
      <vt:variant>
        <vt:lpwstr/>
      </vt:variant>
      <vt:variant>
        <vt:i4>7340131</vt:i4>
      </vt:variant>
      <vt:variant>
        <vt:i4>84</vt:i4>
      </vt:variant>
      <vt:variant>
        <vt:i4>0</vt:i4>
      </vt:variant>
      <vt:variant>
        <vt:i4>5</vt:i4>
      </vt:variant>
      <vt:variant>
        <vt:lpwstr>https://www.dca.ga.gov/safe-affordable-housing/rental-housing-development/housing-tax-credit-program-lihtc/application</vt:lpwstr>
      </vt:variant>
      <vt:variant>
        <vt:lpwstr/>
      </vt:variant>
      <vt:variant>
        <vt:i4>6094913</vt:i4>
      </vt:variant>
      <vt:variant>
        <vt:i4>81</vt:i4>
      </vt:variant>
      <vt:variant>
        <vt:i4>0</vt:i4>
      </vt:variant>
      <vt:variant>
        <vt:i4>5</vt:i4>
      </vt:variant>
      <vt:variant>
        <vt:lpwstr>https://www.dca.ga.gov/node/7805</vt:lpwstr>
      </vt:variant>
      <vt:variant>
        <vt:lpwstr/>
      </vt:variant>
      <vt:variant>
        <vt:i4>7471206</vt:i4>
      </vt:variant>
      <vt:variant>
        <vt:i4>78</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75</vt:i4>
      </vt:variant>
      <vt:variant>
        <vt:i4>0</vt:i4>
      </vt:variant>
      <vt:variant>
        <vt:i4>5</vt:i4>
      </vt:variant>
      <vt:variant>
        <vt:lpwstr>https://www.dca.ga.gov/safe-affordable-housing/rental-housing-development/housing-tax-credit-program-lihtc/qualified-0-0</vt:lpwstr>
      </vt:variant>
      <vt:variant>
        <vt:lpwstr/>
      </vt:variant>
      <vt:variant>
        <vt:i4>7864383</vt:i4>
      </vt:variant>
      <vt:variant>
        <vt:i4>72</vt:i4>
      </vt:variant>
      <vt:variant>
        <vt:i4>0</vt:i4>
      </vt:variant>
      <vt:variant>
        <vt:i4>5</vt:i4>
      </vt:variant>
      <vt:variant>
        <vt:lpwstr>https://dcaqap.formstack.com/forms/2022_taxcredit_questions</vt:lpwstr>
      </vt:variant>
      <vt:variant>
        <vt:lpwstr/>
      </vt:variant>
      <vt:variant>
        <vt:i4>6815865</vt:i4>
      </vt:variant>
      <vt:variant>
        <vt:i4>69</vt:i4>
      </vt:variant>
      <vt:variant>
        <vt:i4>0</vt:i4>
      </vt:variant>
      <vt:variant>
        <vt:i4>5</vt:i4>
      </vt:variant>
      <vt:variant>
        <vt:lpwstr>https://consumer.georgia.gov/consumer-topics/health-care-professionals</vt:lpwstr>
      </vt:variant>
      <vt:variant>
        <vt:lpwstr/>
      </vt:variant>
      <vt:variant>
        <vt:i4>7471206</vt:i4>
      </vt:variant>
      <vt:variant>
        <vt:i4>66</vt:i4>
      </vt:variant>
      <vt:variant>
        <vt:i4>0</vt:i4>
      </vt:variant>
      <vt:variant>
        <vt:i4>5</vt:i4>
      </vt:variant>
      <vt:variant>
        <vt:lpwstr>https://www.dca.ga.gov/safe-affordable-housing/rental-housing-development/compliance-monitoring/utility-allowances</vt:lpwstr>
      </vt:variant>
      <vt:variant>
        <vt:lpwstr/>
      </vt:variant>
      <vt:variant>
        <vt:i4>1703965</vt:i4>
      </vt:variant>
      <vt:variant>
        <vt:i4>63</vt:i4>
      </vt:variant>
      <vt:variant>
        <vt:i4>0</vt:i4>
      </vt:variant>
      <vt:variant>
        <vt:i4>5</vt:i4>
      </vt:variant>
      <vt:variant>
        <vt:lpwstr>https://www.dca.ga.gov/safe-affordable-housing/rental-housing-development/housing-tax-credit-program-lihtc/qualified-0-0</vt:lpwstr>
      </vt:variant>
      <vt:variant>
        <vt:lpwstr/>
      </vt:variant>
      <vt:variant>
        <vt:i4>3801201</vt:i4>
      </vt:variant>
      <vt:variant>
        <vt:i4>60</vt:i4>
      </vt:variant>
      <vt:variant>
        <vt:i4>0</vt:i4>
      </vt:variant>
      <vt:variant>
        <vt:i4>5</vt:i4>
      </vt:variant>
      <vt:variant>
        <vt:lpwstr>http://dcaqap.formstack.com/forms/yearround_qap_survey</vt:lpwstr>
      </vt:variant>
      <vt:variant>
        <vt:lpwstr/>
      </vt:variant>
      <vt:variant>
        <vt:i4>6094912</vt:i4>
      </vt:variant>
      <vt:variant>
        <vt:i4>57</vt:i4>
      </vt:variant>
      <vt:variant>
        <vt:i4>0</vt:i4>
      </vt:variant>
      <vt:variant>
        <vt:i4>5</vt:i4>
      </vt:variant>
      <vt:variant>
        <vt:lpwstr>https://www.dca.ga.gov/node/7815</vt:lpwstr>
      </vt:variant>
      <vt:variant>
        <vt:lpwstr/>
      </vt:variant>
      <vt:variant>
        <vt:i4>2752559</vt:i4>
      </vt:variant>
      <vt:variant>
        <vt:i4>54</vt:i4>
      </vt:variant>
      <vt:variant>
        <vt:i4>0</vt:i4>
      </vt:variant>
      <vt:variant>
        <vt:i4>5</vt:i4>
      </vt:variant>
      <vt:variant>
        <vt:lpwstr>https://www.dca.ga.gov/safe-affordable-housing/rental-housing-development/housing-tax-credit-program-lihtc/qualified-0/2022</vt:lpwstr>
      </vt:variant>
      <vt:variant>
        <vt:lpwstr/>
      </vt:variant>
      <vt:variant>
        <vt:i4>2752559</vt:i4>
      </vt:variant>
      <vt:variant>
        <vt:i4>51</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48</vt:i4>
      </vt:variant>
      <vt:variant>
        <vt:i4>0</vt:i4>
      </vt:variant>
      <vt:variant>
        <vt:i4>5</vt:i4>
      </vt:variant>
      <vt:variant>
        <vt:lpwstr>https://www.dca.ga.gov/safe-affordable-housing/rental-housing-development/housing-tax-credit-program-lihtc/qualified-0-0</vt:lpwstr>
      </vt:variant>
      <vt:variant>
        <vt:lpwstr/>
      </vt:variant>
      <vt:variant>
        <vt:i4>6225984</vt:i4>
      </vt:variant>
      <vt:variant>
        <vt:i4>45</vt:i4>
      </vt:variant>
      <vt:variant>
        <vt:i4>0</vt:i4>
      </vt:variant>
      <vt:variant>
        <vt:i4>5</vt:i4>
      </vt:variant>
      <vt:variant>
        <vt:lpwstr>https://www.dca.ga.gov/node/7817</vt:lpwstr>
      </vt:variant>
      <vt:variant>
        <vt:lpwstr/>
      </vt:variant>
      <vt:variant>
        <vt:i4>6094913</vt:i4>
      </vt:variant>
      <vt:variant>
        <vt:i4>42</vt:i4>
      </vt:variant>
      <vt:variant>
        <vt:i4>0</vt:i4>
      </vt:variant>
      <vt:variant>
        <vt:i4>5</vt:i4>
      </vt:variant>
      <vt:variant>
        <vt:lpwstr>https://www.dca.ga.gov/node/7805</vt:lpwstr>
      </vt:variant>
      <vt:variant>
        <vt:lpwstr/>
      </vt:variant>
      <vt:variant>
        <vt:i4>2752559</vt:i4>
      </vt:variant>
      <vt:variant>
        <vt:i4>39</vt:i4>
      </vt:variant>
      <vt:variant>
        <vt:i4>0</vt:i4>
      </vt:variant>
      <vt:variant>
        <vt:i4>5</vt:i4>
      </vt:variant>
      <vt:variant>
        <vt:lpwstr>https://www.dca.ga.gov/safe-affordable-housing/rental-housing-development/housing-tax-credit-program-lihtc/qualified-0/2022</vt:lpwstr>
      </vt:variant>
      <vt:variant>
        <vt:lpwstr/>
      </vt:variant>
      <vt:variant>
        <vt:i4>1703965</vt:i4>
      </vt:variant>
      <vt:variant>
        <vt:i4>36</vt:i4>
      </vt:variant>
      <vt:variant>
        <vt:i4>0</vt:i4>
      </vt:variant>
      <vt:variant>
        <vt:i4>5</vt:i4>
      </vt:variant>
      <vt:variant>
        <vt:lpwstr>https://www.dca.ga.gov/safe-affordable-housing/rental-housing-development/housing-tax-credit-program-lihtc/qualified-0-0</vt:lpwstr>
      </vt:variant>
      <vt:variant>
        <vt:lpwstr/>
      </vt:variant>
      <vt:variant>
        <vt:i4>7274528</vt:i4>
      </vt:variant>
      <vt:variant>
        <vt:i4>33</vt:i4>
      </vt:variant>
      <vt:variant>
        <vt:i4>0</vt:i4>
      </vt:variant>
      <vt:variant>
        <vt:i4>5</vt:i4>
      </vt:variant>
      <vt:variant>
        <vt:lpwstr>https://www.gadoe.org/CCRPI/Pages/default.aspx</vt:lpwstr>
      </vt:variant>
      <vt:variant>
        <vt:lpwstr/>
      </vt:variant>
      <vt:variant>
        <vt:i4>5570630</vt:i4>
      </vt:variant>
      <vt:variant>
        <vt:i4>30</vt:i4>
      </vt:variant>
      <vt:variant>
        <vt:i4>0</vt:i4>
      </vt:variant>
      <vt:variant>
        <vt:i4>5</vt:i4>
      </vt:variant>
      <vt:variant>
        <vt:lpwstr>https://www.dca.ga.gov/node/8085</vt:lpwstr>
      </vt:variant>
      <vt:variant>
        <vt:lpwstr/>
      </vt:variant>
      <vt:variant>
        <vt:i4>2097154</vt:i4>
      </vt:variant>
      <vt:variant>
        <vt:i4>27</vt:i4>
      </vt:variant>
      <vt:variant>
        <vt:i4>0</vt:i4>
      </vt:variant>
      <vt:variant>
        <vt:i4>5</vt:i4>
      </vt:variant>
      <vt:variant>
        <vt:lpwstr>mailto:Sanjana.Zahin@dca.ga.gov</vt:lpwstr>
      </vt:variant>
      <vt:variant>
        <vt:lpwstr/>
      </vt:variant>
      <vt:variant>
        <vt:i4>720956</vt:i4>
      </vt:variant>
      <vt:variant>
        <vt:i4>24</vt:i4>
      </vt:variant>
      <vt:variant>
        <vt:i4>0</vt:i4>
      </vt:variant>
      <vt:variant>
        <vt:i4>5</vt:i4>
      </vt:variant>
      <vt:variant>
        <vt:lpwstr>mailto:Felecia.Speakman@dca.ga.gov</vt:lpwstr>
      </vt:variant>
      <vt:variant>
        <vt:lpwstr/>
      </vt:variant>
      <vt:variant>
        <vt:i4>5242999</vt:i4>
      </vt:variant>
      <vt:variant>
        <vt:i4>21</vt:i4>
      </vt:variant>
      <vt:variant>
        <vt:i4>0</vt:i4>
      </vt:variant>
      <vt:variant>
        <vt:i4>5</vt:i4>
      </vt:variant>
      <vt:variant>
        <vt:lpwstr>http://ccrpi.gadoe.org/Reports/Views/Shared/_Layout.html</vt:lpwstr>
      </vt:variant>
      <vt:variant>
        <vt:lpwstr/>
      </vt:variant>
      <vt:variant>
        <vt:i4>5570630</vt:i4>
      </vt:variant>
      <vt:variant>
        <vt:i4>18</vt:i4>
      </vt:variant>
      <vt:variant>
        <vt:i4>0</vt:i4>
      </vt:variant>
      <vt:variant>
        <vt:i4>5</vt:i4>
      </vt:variant>
      <vt:variant>
        <vt:lpwstr>https://www.dca.ga.gov/node/8085</vt:lpwstr>
      </vt:variant>
      <vt:variant>
        <vt:lpwstr/>
      </vt:variant>
      <vt:variant>
        <vt:i4>6160479</vt:i4>
      </vt:variant>
      <vt:variant>
        <vt:i4>15</vt:i4>
      </vt:variant>
      <vt:variant>
        <vt:i4>0</vt:i4>
      </vt:variant>
      <vt:variant>
        <vt:i4>5</vt:i4>
      </vt:variant>
      <vt:variant>
        <vt:lpwstr>https://www.dca.ga.gov/sites/default/files/dca_income_averaging_policy_revised_2.3.21_0.pdf</vt:lpwstr>
      </vt:variant>
      <vt:variant>
        <vt:lpwstr/>
      </vt:variant>
      <vt:variant>
        <vt:i4>5570630</vt:i4>
      </vt:variant>
      <vt:variant>
        <vt:i4>12</vt:i4>
      </vt:variant>
      <vt:variant>
        <vt:i4>0</vt:i4>
      </vt:variant>
      <vt:variant>
        <vt:i4>5</vt:i4>
      </vt:variant>
      <vt:variant>
        <vt:lpwstr>https://www.dca.ga.gov/node/8085</vt:lpwstr>
      </vt:variant>
      <vt:variant>
        <vt:lpwstr/>
      </vt:variant>
      <vt:variant>
        <vt:i4>6225984</vt:i4>
      </vt:variant>
      <vt:variant>
        <vt:i4>9</vt:i4>
      </vt:variant>
      <vt:variant>
        <vt:i4>0</vt:i4>
      </vt:variant>
      <vt:variant>
        <vt:i4>5</vt:i4>
      </vt:variant>
      <vt:variant>
        <vt:lpwstr>https://www.dca.ga.gov/node/7817</vt:lpwstr>
      </vt:variant>
      <vt:variant>
        <vt:lpwstr/>
      </vt:variant>
      <vt:variant>
        <vt:i4>1179756</vt:i4>
      </vt:variant>
      <vt:variant>
        <vt:i4>6</vt:i4>
      </vt:variant>
      <vt:variant>
        <vt:i4>0</vt:i4>
      </vt:variant>
      <vt:variant>
        <vt:i4>5</vt:i4>
      </vt:variant>
      <vt:variant>
        <vt:lpwstr>mailto:hfdround@dca.ga.gov</vt:lpwstr>
      </vt:variant>
      <vt:variant>
        <vt:lpwstr/>
      </vt:variant>
      <vt:variant>
        <vt:i4>1179756</vt:i4>
      </vt:variant>
      <vt:variant>
        <vt:i4>3</vt:i4>
      </vt:variant>
      <vt:variant>
        <vt:i4>0</vt:i4>
      </vt:variant>
      <vt:variant>
        <vt:i4>5</vt:i4>
      </vt:variant>
      <vt:variant>
        <vt:lpwstr>mailto:hfdround@dca.ga.gov</vt:lpwstr>
      </vt:variant>
      <vt:variant>
        <vt:lpwstr/>
      </vt:variant>
      <vt:variant>
        <vt:i4>2752559</vt:i4>
      </vt:variant>
      <vt:variant>
        <vt:i4>0</vt:i4>
      </vt:variant>
      <vt:variant>
        <vt:i4>0</vt:i4>
      </vt:variant>
      <vt:variant>
        <vt:i4>5</vt:i4>
      </vt:variant>
      <vt:variant>
        <vt:lpwstr>https://www.dca.ga.gov/safe-affordable-housing/rental-housing-development/housing-tax-credit-program-lihtc/qualified-0/2022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Popper</dc:creator>
  <cp:keywords/>
  <dc:description/>
  <cp:lastModifiedBy>Meagan Cutler</cp:lastModifiedBy>
  <cp:revision>2</cp:revision>
  <dcterms:created xsi:type="dcterms:W3CDTF">2022-10-11T15:52:00Z</dcterms:created>
  <dcterms:modified xsi:type="dcterms:W3CDTF">2022-10-11T15:52:00Z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0x010100F2BC28513F06E9409310364D80ACD8FD</vt:lpwstr>
  </property>
  <property fmtid="{D5CDD505-2E9C-101B-9397-08002B2CF9AE}" pid="3" name="Order">
    <vt:r8>1034800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